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media/image1.wmf" ContentType="image/x-wmf"/>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b/>
          <w:sz w:val="28"/>
          <w:szCs w:val="28"/>
        </w:rPr>
      </w:pPr>
      <w:r>
        <w:rPr>
          <w:b/>
          <w:sz w:val="28"/>
          <w:szCs w:val="28"/>
        </w:rPr>
        <w:t>Appendix Tables</w:t>
      </w:r>
    </w:p>
    <w:p>
      <w:pPr>
        <w:pStyle w:val="Normal"/>
        <w:rPr>
          <w:b/>
        </w:rPr>
      </w:pPr>
      <w:r>
        <w:rPr>
          <w:b/>
        </w:rPr>
      </w:r>
    </w:p>
    <w:p>
      <w:pPr>
        <w:pStyle w:val="Normal"/>
        <w:spacing w:lineRule="auto" w:line="240" w:before="0" w:after="0"/>
        <w:ind w:left="0" w:right="89" w:hanging="0"/>
        <w:jc w:val="both"/>
        <w:rPr>
          <w:rFonts w:eastAsia="Times New Roman" w:cs="Times New Roman"/>
          <w:b/>
          <w:bCs/>
          <w:color w:val="000000"/>
          <w:sz w:val="18"/>
          <w:szCs w:val="18"/>
          <w:lang w:eastAsia="el-GR"/>
        </w:rPr>
      </w:pPr>
      <w:r>
        <w:rPr>
          <w:rFonts w:eastAsia="Times New Roman" w:cs="Times New Roman"/>
          <w:b/>
          <w:bCs/>
          <w:color w:val="000000"/>
          <w:sz w:val="18"/>
          <w:szCs w:val="18"/>
          <w:lang w:eastAsia="el-GR"/>
        </w:rPr>
      </w:r>
      <w:r>
        <w:pict>
          <v:rect style="position:absolute;width:672.45pt;height:345.2pt;mso-wrap-distance-left:9.05pt;mso-wrap-distance-right:9.05pt;mso-wrap-distance-top:0pt;mso-wrap-distance-bottom:0pt;margin-top:56.15pt;margin-left:23.8pt">
            <v:textbox inset="0in,0in,0in,0in">
              <w:txbxContent>
                <w:tbl>
                  <w:tblPr>
                    <w:jc w:val="left"/>
                    <w:tblInd w:w="108" w:type="dxa"/>
                    <w:tblBorders>
                      <w:top w:val="nil"/>
                      <w:left w:val="nil"/>
                      <w:bottom w:val="nil"/>
                      <w:insideH w:val="nil"/>
                      <w:right w:val="nil"/>
                      <w:insideV w:val="nil"/>
                    </w:tblBorders>
                    <w:tblCellMar>
                      <w:top w:w="0" w:type="dxa"/>
                      <w:left w:w="108" w:type="dxa"/>
                      <w:bottom w:w="0" w:type="dxa"/>
                      <w:right w:w="108" w:type="dxa"/>
                    </w:tblCellMar>
                  </w:tblPr>
                  <w:tblGrid>
                    <w:gridCol w:w="4787"/>
                    <w:gridCol w:w="1261"/>
                    <w:gridCol w:w="1348"/>
                    <w:gridCol w:w="1075"/>
                    <w:gridCol w:w="1026"/>
                    <w:gridCol w:w="1125"/>
                    <w:gridCol w:w="975"/>
                    <w:gridCol w:w="1"/>
                    <w:gridCol w:w="921"/>
                    <w:gridCol w:w="928"/>
                  </w:tblGrid>
                  <w:tr>
                    <w:trPr>
                      <w:trHeight w:val="250" w:hRule="atLeast"/>
                      <w:cantSplit w:val="false"/>
                    </w:trPr>
                    <w:tc>
                      <w:tcPr>
                        <w:tcW w:w="13447" w:type="dxa"/>
                        <w:gridSpan w:val="10"/>
                        <w:tcBorders>
                          <w:top w:val="nil"/>
                          <w:left w:val="nil"/>
                          <w:bottom w:val="nil"/>
                          <w:insideH w:val="nil"/>
                          <w:right w:val="nil"/>
                          <w:insideV w:val="nil"/>
                        </w:tcBorders>
                        <w:shd w:fill="FFFFFF" w:val="clear"/>
                        <w:vAlign w:val="center"/>
                      </w:tcPr>
                      <w:p>
                        <w:pPr>
                          <w:pStyle w:val="Normal"/>
                          <w:spacing w:lineRule="auto" w:line="240" w:before="0" w:after="0"/>
                          <w:jc w:val="center"/>
                          <w:rPr>
                            <w:rFonts w:eastAsia="Times New Roman" w:cs="Times New Roman"/>
                            <w:b/>
                            <w:bCs/>
                            <w:color w:val="000000"/>
                            <w:sz w:val="24"/>
                            <w:szCs w:val="24"/>
                            <w:lang w:val="en-GB" w:eastAsia="el-GR"/>
                          </w:rPr>
                        </w:pPr>
                        <w:r>
                          <w:rPr>
                            <w:rFonts w:eastAsia="Times New Roman" w:cs="Times New Roman"/>
                            <w:b/>
                            <w:bCs/>
                            <w:color w:val="000000"/>
                            <w:sz w:val="24"/>
                            <w:szCs w:val="24"/>
                            <w:lang w:val="en-GB" w:eastAsia="el-GR"/>
                          </w:rPr>
                          <w:t>Table A1: Simulation of Policy Effects on Labor Market variables for Immigrants in US (1) and Workers in Mexico (2)</w:t>
                        </w:r>
                      </w:p>
                    </w:tc>
                  </w:tr>
                  <w:tr>
                    <w:trPr>
                      <w:trHeight w:val="236" w:hRule="atLeast"/>
                      <w:cantSplit w:val="false"/>
                    </w:trPr>
                    <w:tc>
                      <w:tcPr>
                        <w:tcW w:w="13447" w:type="dxa"/>
                        <w:gridSpan w:val="10"/>
                        <w:tcBorders>
                          <w:top w:val="nil"/>
                          <w:left w:val="nil"/>
                          <w:bottom w:val="dotted" w:sz="4" w:space="0" w:color="00000A"/>
                          <w:insideH w:val="dotted" w:sz="4" w:space="0" w:color="00000A"/>
                          <w:right w:val="nil"/>
                          <w:insideV w:val="nil"/>
                        </w:tcBorders>
                        <w:shd w:fill="FFFFFF" w:val="clear"/>
                        <w:vAlign w:val="center"/>
                      </w:tcPr>
                      <w:p>
                        <w:pPr>
                          <w:pStyle w:val="Normal"/>
                          <w:spacing w:lineRule="auto" w:line="240" w:before="0" w:after="0"/>
                          <w:jc w:val="center"/>
                          <w:rPr>
                            <w:rFonts w:eastAsia="Times New Roman" w:cs="Times New Roman"/>
                            <w:b/>
                            <w:bCs/>
                            <w:color w:val="000000"/>
                            <w:sz w:val="24"/>
                            <w:szCs w:val="24"/>
                            <w:lang w:eastAsia="el-GR"/>
                          </w:rPr>
                        </w:pPr>
                        <w:r>
                          <w:rPr>
                            <w:rFonts w:eastAsia="Times New Roman" w:cs="Times New Roman"/>
                            <w:b/>
                            <w:bCs/>
                            <w:color w:val="000000"/>
                            <w:sz w:val="24"/>
                            <w:szCs w:val="24"/>
                            <w:lang w:eastAsia="el-GR"/>
                          </w:rPr>
                          <w:t>(percentage changes)</w:t>
                        </w:r>
                      </w:p>
                      <w:p>
                        <w:pPr>
                          <w:pStyle w:val="Normal"/>
                          <w:spacing w:lineRule="auto" w:line="240" w:before="0" w:after="0"/>
                          <w:jc w:val="center"/>
                          <w:rPr>
                            <w:rFonts w:eastAsia="Times New Roman" w:cs="Times New Roman"/>
                            <w:b/>
                            <w:i/>
                            <w:color w:val="000000"/>
                            <w:lang w:val="en-GB" w:eastAsia="el-GR"/>
                          </w:rPr>
                        </w:pPr>
                        <w:r>
                          <w:rPr>
                            <w:rFonts w:eastAsia="Times New Roman" w:cs="Times New Roman"/>
                            <w:b/>
                            <w:i/>
                            <w:color w:val="000000"/>
                            <w:lang w:val="en-GB" w:eastAsia="el-GR"/>
                          </w:rPr>
                        </w:r>
                      </w:p>
                    </w:tc>
                  </w:tr>
                  <w:tr>
                    <w:trPr>
                      <w:cantSplit w:val="false"/>
                    </w:trPr>
                    <w:tc>
                      <w:tcPr>
                        <w:tcW w:w="478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vAlign w:val="bottom"/>
                      </w:tcPr>
                      <w:p>
                        <w:pPr>
                          <w:pStyle w:val="Normal"/>
                          <w:spacing w:lineRule="auto" w:line="240" w:before="0" w:after="0"/>
                          <w:rPr>
                            <w:rFonts w:eastAsia="Calibri" w:cs="Times New Roman"/>
                            <w:color w:val="000000"/>
                            <w:lang w:eastAsia="el-GR"/>
                          </w:rPr>
                        </w:pPr>
                        <w:r>
                          <w:rPr>
                            <w:rFonts w:eastAsia="Calibri" w:cs="Times New Roman"/>
                            <w:color w:val="000000"/>
                            <w:lang w:eastAsia="el-GR"/>
                          </w:rPr>
                        </w:r>
                      </w:p>
                    </w:tc>
                    <w:tc>
                      <w:tcPr>
                        <w:tcW w:w="2609"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val="en-GB" w:eastAsia="el-GR"/>
                          </w:rPr>
                        </w:pPr>
                        <w:r>
                          <w:rPr>
                            <w:rFonts w:eastAsia="Times New Roman" w:cs="Times New Roman"/>
                            <w:b/>
                            <w:i/>
                            <w:color w:val="000000"/>
                            <w:lang w:val="en-GB" w:eastAsia="el-GR"/>
                          </w:rPr>
                        </w:r>
                      </w:p>
                    </w:tc>
                    <w:tc>
                      <w:tcPr>
                        <w:tcW w:w="210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val="en-GB" w:eastAsia="el-GR"/>
                          </w:rPr>
                        </w:pPr>
                        <w:r>
                          <w:rPr>
                            <w:rFonts w:eastAsia="Times New Roman" w:cs="Times New Roman"/>
                            <w:b/>
                            <w:i/>
                            <w:color w:val="000000"/>
                            <w:lang w:val="en-GB" w:eastAsia="el-GR"/>
                          </w:rPr>
                        </w:r>
                      </w:p>
                    </w:tc>
                    <w:tc>
                      <w:tcPr>
                        <w:tcW w:w="2101" w:type="dxa"/>
                        <w:gridSpan w:val="3"/>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val="en-GB" w:eastAsia="el-GR"/>
                          </w:rPr>
                        </w:pPr>
                        <w:r>
                          <w:rPr>
                            <w:rFonts w:eastAsia="Times New Roman" w:cs="Times New Roman"/>
                            <w:b/>
                            <w:i/>
                            <w:color w:val="000000"/>
                            <w:lang w:val="en-GB" w:eastAsia="el-GR"/>
                          </w:rPr>
                        </w:r>
                      </w:p>
                    </w:tc>
                    <w:tc>
                      <w:tcPr>
                        <w:tcW w:w="1849"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eastAsia="Times New Roman" w:cs="Times New Roman"/>
                            <w:b/>
                            <w:i/>
                            <w:color w:val="000000"/>
                            <w:lang w:val="en-GB" w:eastAsia="el-GR"/>
                          </w:rPr>
                        </w:pPr>
                        <w:r>
                          <w:rPr>
                            <w:rFonts w:eastAsia="Times New Roman" w:cs="Times New Roman"/>
                            <w:b/>
                            <w:i/>
                            <w:color w:val="000000"/>
                            <w:lang w:val="en-GB" w:eastAsia="el-GR"/>
                          </w:rPr>
                        </w:r>
                      </w:p>
                    </w:tc>
                  </w:tr>
                  <w:tr>
                    <w:trPr>
                      <w:trHeight w:val="884" w:hRule="atLeast"/>
                      <w:cantSplit w:val="false"/>
                    </w:trPr>
                    <w:tc>
                      <w:tcPr>
                        <w:tcW w:w="478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vAlign w:val="bottom"/>
                      </w:tcPr>
                      <w:p>
                        <w:pPr>
                          <w:pStyle w:val="Normal"/>
                          <w:spacing w:lineRule="auto" w:line="240" w:before="0" w:after="0"/>
                          <w:rPr>
                            <w:rFonts w:eastAsia="Calibri" w:cs="Times New Roman"/>
                            <w:color w:val="000000"/>
                            <w:lang w:eastAsia="el-GR"/>
                          </w:rPr>
                        </w:pPr>
                        <w:r>
                          <w:rPr>
                            <w:rFonts w:eastAsia="Calibri" w:cs="Times New Roman"/>
                            <w:color w:val="000000"/>
                            <w:lang w:eastAsia="el-GR"/>
                          </w:rPr>
                        </w:r>
                      </w:p>
                    </w:tc>
                    <w:tc>
                      <w:tcPr>
                        <w:tcW w:w="2609"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bCs/>
                            <w:color w:val="000000"/>
                            <w:lang w:val="en-GB" w:eastAsia="el-GR"/>
                          </w:rPr>
                        </w:pPr>
                        <w:r>
                          <w:rPr>
                            <w:rFonts w:eastAsia="Times New Roman" w:cs="Times New Roman"/>
                            <w:b/>
                            <w:bCs/>
                            <w:color w:val="000000"/>
                            <w:lang w:val="en-GB" w:eastAsia="el-GR"/>
                          </w:rPr>
                          <w:t xml:space="preserve">Increased border control (decrease in </w:t>
                        </w:r>
                        <w:r>
                          <w:rPr>
                            <w:rFonts w:eastAsia="Times New Roman" w:cs="Times New Roman"/>
                            <w:b/>
                            <w:bCs/>
                            <w:color w:val="000000"/>
                            <w:lang w:val="en-GB" w:eastAsia="el-GR"/>
                          </w:rPr>
                        </w:r>
                        <m:oMath xmlns:m="http://schemas.openxmlformats.org/officeDocument/2006/math">
                          <m:sSub>
                            <m:e>
                              <m:r>
                                <w:rPr>
                                  <w:rFonts w:ascii="Cambria Math" w:hAnsi="Cambria Math"/>
                                </w:rPr>
                                <m:t xml:space="preserve">μ</m:t>
                              </m:r>
                            </m:e>
                            <m:sub>
                              <m:r>
                                <w:rPr>
                                  <w:rFonts w:ascii="Cambria Math" w:hAnsi="Cambria Math"/>
                                </w:rPr>
                                <m:t xml:space="preserve">I</m:t>
                              </m:r>
                            </m:sub>
                          </m:sSub>
                        </m:oMath>
                        <w:r>
                          <w:rPr>
                            <w:rFonts w:eastAsia="Times New Roman" w:cs="Times New Roman"/>
                            <w:b/>
                            <w:bCs/>
                            <w:color w:val="000000"/>
                            <w:lang w:val="en-GB" w:eastAsia="el-GR"/>
                          </w:rPr>
                          <w:t>)</w:t>
                        </w:r>
                      </w:p>
                      <w:p>
                        <w:pPr>
                          <w:pStyle w:val="Normal"/>
                          <w:spacing w:lineRule="auto" w:line="240" w:before="0" w:after="0"/>
                          <w:rPr>
                            <w:rFonts w:eastAsia="Times New Roman" w:cs="Times New Roman"/>
                            <w:b/>
                            <w:i/>
                            <w:color w:val="000000"/>
                            <w:lang w:val="en-GB" w:eastAsia="el-GR"/>
                          </w:rPr>
                        </w:pPr>
                        <w:r>
                          <w:rPr>
                            <w:rFonts w:eastAsia="Times New Roman" w:cs="Times New Roman"/>
                            <w:b/>
                            <w:i/>
                            <w:color w:val="000000"/>
                            <w:lang w:val="en-GB" w:eastAsia="el-GR"/>
                          </w:rPr>
                        </w:r>
                      </w:p>
                    </w:tc>
                    <w:tc>
                      <w:tcPr>
                        <w:tcW w:w="210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bCs/>
                            <w:color w:val="000000"/>
                            <w:lang w:val="en-GB" w:eastAsia="el-GR"/>
                          </w:rPr>
                        </w:pPr>
                        <w:r>
                          <w:rPr>
                            <w:rFonts w:eastAsia="Times New Roman" w:cs="Times New Roman"/>
                            <w:b/>
                            <w:bCs/>
                            <w:color w:val="000000"/>
                            <w:lang w:val="en-GB" w:eastAsia="el-GR"/>
                          </w:rPr>
                          <w:t xml:space="preserve">Higher search cost </w:t>
                        </w:r>
                      </w:p>
                      <w:p>
                        <w:pPr>
                          <w:pStyle w:val="Normal"/>
                          <w:spacing w:lineRule="auto" w:line="240" w:before="0" w:after="0"/>
                          <w:rPr>
                            <w:rFonts w:eastAsia="Times New Roman" w:cs="Times New Roman"/>
                            <w:b/>
                            <w:bCs/>
                            <w:color w:val="000000"/>
                            <w:lang w:val="en-GB" w:eastAsia="el-GR"/>
                          </w:rPr>
                        </w:pPr>
                        <w:r>
                          <w:rPr>
                            <w:rFonts w:eastAsia="Times New Roman" w:cs="Times New Roman"/>
                            <w:b/>
                            <w:bCs/>
                            <w:color w:val="000000"/>
                            <w:lang w:val="en-GB" w:eastAsia="el-GR"/>
                          </w:rPr>
                          <w:t xml:space="preserve">(increase in </w:t>
                        </w:r>
                        <w:r>
                          <w:rPr>
                            <w:rFonts w:eastAsia="Times New Roman" w:cs="Times New Roman"/>
                            <w:b/>
                            <w:bCs/>
                            <w:color w:val="000000"/>
                            <w:lang w:val="en-GB" w:eastAsia="el-GR"/>
                          </w:rPr>
                        </w:r>
                        <m:oMath xmlns:m="http://schemas.openxmlformats.org/officeDocument/2006/math">
                          <m:sSub>
                            <m:e>
                              <m:r>
                                <w:rPr>
                                  <w:rFonts w:ascii="Cambria Math" w:hAnsi="Cambria Math"/>
                                </w:rPr>
                                <m:t xml:space="preserve">π</m:t>
                              </m:r>
                            </m:e>
                            <m:sub>
                              <m:r>
                                <w:rPr>
                                  <w:rFonts w:ascii="Cambria Math" w:hAnsi="Cambria Math"/>
                                </w:rPr>
                                <m:t xml:space="preserve">I</m:t>
                              </m:r>
                            </m:sub>
                          </m:sSub>
                        </m:oMath>
                        <w:r>
                          <w:rPr>
                            <w:rFonts w:eastAsia="Times New Roman" w:cs="Times New Roman"/>
                            <w:b/>
                            <w:bCs/>
                            <w:color w:val="000000"/>
                            <w:lang w:val="en-GB" w:eastAsia="el-GR"/>
                          </w:rPr>
                          <w:t>)</w:t>
                        </w:r>
                      </w:p>
                    </w:tc>
                    <w:tc>
                      <w:tcPr>
                        <w:tcW w:w="2101" w:type="dxa"/>
                        <w:gridSpan w:val="3"/>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bCs/>
                            <w:color w:val="000000"/>
                            <w:lang w:val="en-GB" w:eastAsia="el-GR"/>
                          </w:rPr>
                        </w:pPr>
                        <w:r>
                          <w:rPr>
                            <w:rFonts w:eastAsia="Times New Roman" w:cs="Times New Roman"/>
                            <w:b/>
                            <w:bCs/>
                            <w:color w:val="000000"/>
                            <w:lang w:val="en-GB" w:eastAsia="el-GR"/>
                          </w:rPr>
                          <w:t xml:space="preserve">Increased rates of deportation (increase in </w:t>
                        </w:r>
                        <w:r>
                          <w:rPr>
                            <w:rFonts w:eastAsia="Times New Roman" w:cs="Times New Roman"/>
                            <w:b/>
                            <w:bCs/>
                            <w:color w:val="000000"/>
                            <w:lang w:val="en-GB" w:eastAsia="el-GR"/>
                          </w:rPr>
                        </w:r>
                        <m:oMath xmlns:m="http://schemas.openxmlformats.org/officeDocument/2006/math">
                          <m:sSub>
                            <m:e>
                              <m:r>
                                <w:rPr>
                                  <w:rFonts w:ascii="Cambria Math" w:hAnsi="Cambria Math"/>
                                </w:rPr>
                                <m:t xml:space="preserve">δ</m:t>
                              </m:r>
                            </m:e>
                            <m:sub>
                              <m:r>
                                <w:rPr>
                                  <w:rFonts w:ascii="Cambria Math" w:hAnsi="Cambria Math"/>
                                </w:rPr>
                                <m:t xml:space="preserve">I</m:t>
                              </m:r>
                            </m:sub>
                          </m:sSub>
                        </m:oMath>
                        <w:r>
                          <w:rPr>
                            <w:rFonts w:eastAsia="Times New Roman" w:cs="Times New Roman"/>
                            <w:b/>
                            <w:bCs/>
                            <w:color w:val="000000"/>
                            <w:lang w:val="en-GB" w:eastAsia="el-GR"/>
                          </w:rPr>
                          <w:t>)</w:t>
                        </w:r>
                      </w:p>
                    </w:tc>
                    <w:tc>
                      <w:tcPr>
                        <w:tcW w:w="1849"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eastAsia="Times New Roman" w:cs="Times New Roman"/>
                            <w:b/>
                            <w:bCs/>
                            <w:color w:val="000000"/>
                            <w:lang w:val="en-GB" w:eastAsia="el-GR"/>
                          </w:rPr>
                        </w:pPr>
                        <w:r>
                          <w:rPr>
                            <w:rFonts w:eastAsia="Times New Roman" w:cs="Times New Roman"/>
                            <w:b/>
                            <w:bCs/>
                            <w:color w:val="000000"/>
                            <w:lang w:val="en-GB" w:eastAsia="el-GR"/>
                          </w:rPr>
                          <w:t>Legalization (increase in</w:t>
                        </w:r>
                        <w:r>
                          <w:rPr>
                            <w:rFonts w:eastAsia="Times New Roman" w:cs="Times New Roman"/>
                            <w:b/>
                            <w:bCs/>
                            <w:color w:val="000000"/>
                            <w:lang w:val="en-GB" w:eastAsia="el-GR"/>
                          </w:rPr>
                        </w:r>
                        <m:oMath xmlns:m="http://schemas.openxmlformats.org/officeDocument/2006/math">
                          <m:r>
                            <w:rPr>
                              <w:rFonts w:ascii="Cambria Math" w:hAnsi="Cambria Math"/>
                            </w:rPr>
                            <m:t xml:space="preserve">n</m:t>
                          </m:r>
                        </m:oMath>
                        <w:r>
                          <w:rPr>
                            <w:rFonts w:eastAsia="Times New Roman" w:cs="Times New Roman"/>
                            <w:b/>
                            <w:bCs/>
                            <w:color w:val="000000"/>
                            <w:lang w:val="en-GB" w:eastAsia="el-GR"/>
                          </w:rPr>
                          <w:t>)</w:t>
                        </w:r>
                      </w:p>
                    </w:tc>
                  </w:tr>
                  <w:tr>
                    <w:trPr>
                      <w:trHeight w:val="313" w:hRule="exact"/>
                      <w:cantSplit w:val="false"/>
                    </w:trPr>
                    <w:tc>
                      <w:tcPr>
                        <w:tcW w:w="478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Fonts w:eastAsia="Times New Roman" w:cs="Times New Roman"/>
                            <w:b/>
                            <w:color w:val="000000"/>
                            <w:lang w:eastAsia="el-GR"/>
                          </w:rPr>
                          <w:t>Specification</w:t>
                        </w:r>
                      </w:p>
                    </w:tc>
                    <w:tc>
                      <w:tcPr>
                        <w:tcW w:w="126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w:t>
                        </w:r>
                      </w:p>
                    </w:tc>
                    <w:tc>
                      <w:tcPr>
                        <w:tcW w:w="1348"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(2)</w:t>
                        </w:r>
                      </w:p>
                    </w:tc>
                    <w:tc>
                      <w:tcPr>
                        <w:tcW w:w="1075"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(3)</w:t>
                        </w:r>
                      </w:p>
                    </w:tc>
                    <w:tc>
                      <w:tcPr>
                        <w:tcW w:w="1026"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(4)</w:t>
                        </w:r>
                      </w:p>
                    </w:tc>
                    <w:tc>
                      <w:tcPr>
                        <w:tcW w:w="1125"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(5)</w:t>
                        </w:r>
                      </w:p>
                    </w:tc>
                    <w:tc>
                      <w:tcPr>
                        <w:tcW w:w="975"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(6)</w:t>
                        </w:r>
                      </w:p>
                    </w:tc>
                    <w:tc>
                      <w:tcPr>
                        <w:tcW w:w="922"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(7)</w:t>
                        </w:r>
                      </w:p>
                    </w:tc>
                    <w:tc>
                      <w:tcPr>
                        <w:tcW w:w="928" w:type="dxa"/>
                        <w:tcBorders>
                          <w:top w:val="single" w:sz="4" w:space="0" w:color="00000A"/>
                          <w:left w:val="nil"/>
                          <w:bottom w:val="dotted" w:sz="4" w:space="0" w:color="00000A"/>
                          <w:insideH w:val="dotted" w:sz="4" w:space="0" w:color="00000A"/>
                          <w:right w:val="single" w:sz="2" w:space="0" w:color="00000A"/>
                          <w:insideV w:val="single" w:sz="2"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(8)</w:t>
                        </w:r>
                      </w:p>
                    </w:tc>
                  </w:tr>
                  <w:tr>
                    <w:trPr>
                      <w:trHeight w:val="313" w:hRule="exact"/>
                      <w:cantSplit w:val="false"/>
                    </w:trPr>
                    <w:tc>
                      <w:tcPr>
                        <w:tcW w:w="478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
                        <m:oMath xmlns:m="http://schemas.openxmlformats.org/officeDocument/2006/math">
                          <m:r>
                            <w:rPr>
                              <w:rFonts w:ascii="Cambria Math" w:hAnsi="Cambria Math"/>
                            </w:rPr>
                            <m:t xml:space="preserve">I</m:t>
                          </m:r>
                        </m:oMath>
                        <w:r>
                          <w:rPr>
                            <w:rFonts w:eastAsia="Times New Roman" w:cs="Times New Roman"/>
                            <w:b/>
                            <w:color w:val="000000"/>
                            <w:lang w:eastAsia="el-GR"/>
                          </w:rPr>
                          <w:t>: stock of illegal Immigrants</w:t>
                        </w:r>
                      </w:p>
                    </w:tc>
                    <w:tc>
                      <w:tcPr>
                        <w:tcW w:w="126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1348"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1075"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1026"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1125"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975"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922"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928" w:type="dxa"/>
                        <w:tcBorders>
                          <w:top w:val="single" w:sz="4" w:space="0" w:color="00000A"/>
                          <w:left w:val="nil"/>
                          <w:bottom w:val="dotted" w:sz="4" w:space="0" w:color="00000A"/>
                          <w:insideH w:val="dotted" w:sz="4" w:space="0" w:color="00000A"/>
                          <w:right w:val="single" w:sz="2" w:space="0" w:color="00000A"/>
                          <w:insideV w:val="single" w:sz="2"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r>
                  <w:tr>
                    <w:trPr>
                      <w:trHeight w:val="367" w:hRule="exact"/>
                      <w:cantSplit w:val="false"/>
                    </w:trPr>
                    <w:tc>
                      <w:tcPr>
                        <w:tcW w:w="4787"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μ</m:t>
                              </m:r>
                            </m:e>
                            <m:sub>
                              <m:r>
                                <w:rPr>
                                  <w:rFonts w:ascii="Cambria Math" w:hAnsi="Cambria Math"/>
                                </w:rPr>
                                <m:t xml:space="preserve">I</m:t>
                              </m:r>
                            </m:sub>
                          </m:sSub>
                        </m:oMath>
                        <w:r>
                          <w:rPr>
                            <w:rFonts w:eastAsia="Times New Roman" w:cs="Times New Roman"/>
                            <w:b/>
                            <w:bCs/>
                            <w:color w:val="000000"/>
                            <w:lang w:eastAsia="el-GR"/>
                          </w:rPr>
                          <w:t>: entry rate for illegal immigrants</w:t>
                        </w:r>
                      </w:p>
                    </w:tc>
                    <w:tc>
                      <w:tcPr>
                        <w:tcW w:w="126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-10.40</w:t>
                        </w:r>
                      </w:p>
                    </w:tc>
                    <w:tc>
                      <w:tcPr>
                        <w:tcW w:w="1348"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-51.03</w:t>
                        </w:r>
                      </w:p>
                    </w:tc>
                    <w:tc>
                      <w:tcPr>
                        <w:tcW w:w="1075"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2.27</w:t>
                        </w:r>
                      </w:p>
                    </w:tc>
                    <w:tc>
                      <w:tcPr>
                        <w:tcW w:w="1026"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10.89</w:t>
                        </w:r>
                      </w:p>
                    </w:tc>
                    <w:tc>
                      <w:tcPr>
                        <w:tcW w:w="1125"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7.40</w:t>
                        </w:r>
                      </w:p>
                    </w:tc>
                    <w:tc>
                      <w:tcPr>
                        <w:tcW w:w="975"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52.04</w:t>
                        </w:r>
                      </w:p>
                    </w:tc>
                    <w:tc>
                      <w:tcPr>
                        <w:tcW w:w="922" w:type="dxa"/>
                        <w:gridSpan w:val="2"/>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275.66</w:t>
                        </w:r>
                      </w:p>
                    </w:tc>
                    <w:tc>
                      <w:tcPr>
                        <w:tcW w:w="928" w:type="dxa"/>
                        <w:tcBorders>
                          <w:top w:val="nil"/>
                          <w:left w:val="nil"/>
                          <w:bottom w:val="single" w:sz="12" w:space="0" w:color="00000A"/>
                          <w:insideH w:val="single" w:sz="12"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1985.31</w:t>
                        </w:r>
                      </w:p>
                    </w:tc>
                  </w:tr>
                  <w:tr>
                    <w:trPr>
                      <w:trHeight w:val="303" w:hRule="exact"/>
                      <w:cantSplit w:val="false"/>
                    </w:trPr>
                    <w:tc>
                      <w:tcPr>
                        <w:tcW w:w="13447" w:type="dxa"/>
                        <w:gridSpan w:val="10"/>
                        <w:tcBorders>
                          <w:top w:val="dotted" w:sz="4" w:space="0" w:color="00000A"/>
                          <w:left w:val="single" w:sz="4" w:space="0" w:color="00000A"/>
                          <w:bottom w:val="single" w:sz="4" w:space="0" w:color="00000A"/>
                          <w:insideH w:val="single" w:sz="4" w:space="0" w:color="00000A"/>
                          <w:right w:val="single" w:sz="2" w:space="0" w:color="00000A"/>
                          <w:insideV w:val="single" w:sz="2" w:space="0" w:color="00000A"/>
                        </w:tcBorders>
                        <w:shd w:fill="FFFFFF" w:val="clear"/>
                        <w:tcMar>
                          <w:left w:w="103" w:type="dxa"/>
                        </w:tcMar>
                        <w:vAlign w:val="center"/>
                      </w:tcPr>
                      <w:p>
                        <w:pPr>
                          <w:pStyle w:val="Normal"/>
                          <w:jc w:val="center"/>
                          <w:rPr>
                            <w:b/>
                            <w:color w:val="000000"/>
                          </w:rPr>
                        </w:pPr>
                        <w:r>
                          <w:rPr>
                            <w:b/>
                            <w:color w:val="000000"/>
                          </w:rPr>
                          <w:t>Unskilled immigrants in Country 1</w:t>
                        </w:r>
                      </w:p>
                    </w:tc>
                  </w:tr>
                  <w:tr>
                    <w:trPr>
                      <w:trHeight w:val="343" w:hRule="exact"/>
                      <w:cantSplit w:val="false"/>
                    </w:trPr>
                    <w:tc>
                      <w:tcPr>
                        <w:tcW w:w="4787" w:type="dxa"/>
                        <w:tcBorders>
                          <w:top w:val="nil"/>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u</m:t>
                              </m:r>
                            </m:e>
                            <m:sub>
                              <m:r>
                                <w:rPr>
                                  <w:rFonts w:ascii="Cambria Math" w:hAnsi="Cambria Math"/>
                                </w:rPr>
                                <m:t xml:space="preserve">1</m:t>
                              </m:r>
                              <m:r>
                                <w:rPr>
                                  <w:rFonts w:ascii="Cambria Math" w:hAnsi="Cambria Math"/>
                                </w:rPr>
                                <m:t xml:space="preserve">L</m:t>
                              </m:r>
                            </m:sub>
                          </m:sSub>
                        </m:oMath>
                        <w:r>
                          <w:rPr>
                            <w:rFonts w:eastAsia="Times New Roman" w:cs="Times New Roman"/>
                            <w:b/>
                            <w:bCs/>
                            <w:color w:val="000000"/>
                            <w:lang w:eastAsia="el-GR"/>
                          </w:rPr>
                          <w:t>: unemployment rate of legal immigrants</w:t>
                        </w:r>
                      </w:p>
                    </w:tc>
                    <w:tc>
                      <w:tcPr>
                        <w:tcW w:w="1261" w:type="dxa"/>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0.30</w:t>
                        </w:r>
                      </w:p>
                    </w:tc>
                    <w:tc>
                      <w:tcPr>
                        <w:tcW w:w="1348" w:type="dxa"/>
                        <w:tcBorders>
                          <w:top w:val="nil"/>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1.58</w:t>
                        </w:r>
                      </w:p>
                    </w:tc>
                    <w:tc>
                      <w:tcPr>
                        <w:tcW w:w="1075" w:type="dxa"/>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0.24</w:t>
                        </w:r>
                      </w:p>
                    </w:tc>
                    <w:tc>
                      <w:tcPr>
                        <w:tcW w:w="1026" w:type="dxa"/>
                        <w:tcBorders>
                          <w:top w:val="nil"/>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1.39</w:t>
                        </w:r>
                      </w:p>
                    </w:tc>
                    <w:tc>
                      <w:tcPr>
                        <w:tcW w:w="1125" w:type="dxa"/>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0.30</w:t>
                        </w:r>
                      </w:p>
                    </w:tc>
                    <w:tc>
                      <w:tcPr>
                        <w:tcW w:w="975" w:type="dxa"/>
                        <w:tcBorders>
                          <w:top w:val="nil"/>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1.58</w:t>
                        </w:r>
                      </w:p>
                    </w:tc>
                    <w:tc>
                      <w:tcPr>
                        <w:tcW w:w="922" w:type="dxa"/>
                        <w:gridSpan w:val="2"/>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-1.78</w:t>
                        </w:r>
                      </w:p>
                    </w:tc>
                    <w:tc>
                      <w:tcPr>
                        <w:tcW w:w="928" w:type="dxa"/>
                        <w:tcBorders>
                          <w:top w:val="nil"/>
                          <w:left w:val="nil"/>
                          <w:bottom w:val="dotted" w:sz="4" w:space="0" w:color="00000A"/>
                          <w:insideH w:val="dotted" w:sz="4"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-4.04</w:t>
                        </w:r>
                      </w:p>
                    </w:tc>
                  </w:tr>
                  <w:tr>
                    <w:trPr>
                      <w:trHeight w:val="319" w:hRule="exact"/>
                      <w:cantSplit w:val="false"/>
                    </w:trPr>
                    <w:tc>
                      <w:tcPr>
                        <w:tcW w:w="4787" w:type="dxa"/>
                        <w:tcBorders>
                          <w:top w:val="nil"/>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u</m:t>
                              </m:r>
                            </m:e>
                            <m:sub>
                              <m:r>
                                <w:rPr>
                                  <w:rFonts w:ascii="Cambria Math" w:hAnsi="Cambria Math"/>
                                </w:rPr>
                                <m:t xml:space="preserve">1</m:t>
                              </m:r>
                              <m:r>
                                <w:rPr>
                                  <w:rFonts w:ascii="Cambria Math" w:hAnsi="Cambria Math"/>
                                </w:rPr>
                                <m:t xml:space="preserve">I</m:t>
                              </m:r>
                            </m:sub>
                          </m:sSub>
                        </m:oMath>
                        <w:r>
                          <w:rPr>
                            <w:rFonts w:eastAsia="Times New Roman" w:cs="Times New Roman"/>
                            <w:b/>
                            <w:bCs/>
                            <w:color w:val="000000"/>
                            <w:lang w:eastAsia="el-GR"/>
                          </w:rPr>
                          <w:t>: unemployment rate of illegal immigrants</w:t>
                        </w:r>
                      </w:p>
                    </w:tc>
                    <w:tc>
                      <w:tcPr>
                        <w:tcW w:w="126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0.21</w:t>
                        </w:r>
                      </w:p>
                    </w:tc>
                    <w:tc>
                      <w:tcPr>
                        <w:tcW w:w="1348"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1.10</w:t>
                        </w:r>
                      </w:p>
                    </w:tc>
                    <w:tc>
                      <w:tcPr>
                        <w:tcW w:w="1075"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0.15</w:t>
                        </w:r>
                      </w:p>
                    </w:tc>
                    <w:tc>
                      <w:tcPr>
                        <w:tcW w:w="1026"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0.91</w:t>
                        </w:r>
                      </w:p>
                    </w:tc>
                    <w:tc>
                      <w:tcPr>
                        <w:tcW w:w="1125"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0.76</w:t>
                        </w:r>
                      </w:p>
                    </w:tc>
                    <w:tc>
                      <w:tcPr>
                        <w:tcW w:w="975"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4.91</w:t>
                        </w:r>
                      </w:p>
                    </w:tc>
                    <w:tc>
                      <w:tcPr>
                        <w:tcW w:w="922" w:type="dxa"/>
                        <w:gridSpan w:val="2"/>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2.71</w:t>
                        </w:r>
                      </w:p>
                    </w:tc>
                    <w:tc>
                      <w:tcPr>
                        <w:tcW w:w="928" w:type="dxa"/>
                        <w:tcBorders>
                          <w:top w:val="nil"/>
                          <w:left w:val="nil"/>
                          <w:bottom w:val="single" w:sz="4" w:space="0" w:color="00000A"/>
                          <w:insideH w:val="single" w:sz="4"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19.28</w:t>
                        </w:r>
                      </w:p>
                    </w:tc>
                  </w:tr>
                  <w:tr>
                    <w:trPr>
                      <w:trHeight w:val="340" w:hRule="exact"/>
                      <w:cantSplit w:val="false"/>
                    </w:trPr>
                    <w:tc>
                      <w:tcPr>
                        <w:tcW w:w="4787" w:type="dxa"/>
                        <w:tcBorders>
                          <w:top w:val="nil"/>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w</m:t>
                              </m:r>
                            </m:e>
                            <m:sub>
                              <m:r>
                                <w:rPr>
                                  <w:rFonts w:ascii="Cambria Math" w:hAnsi="Cambria Math"/>
                                </w:rPr>
                                <m:t xml:space="preserve">1</m:t>
                              </m:r>
                              <m:r>
                                <w:rPr>
                                  <w:rFonts w:ascii="Cambria Math" w:hAnsi="Cambria Math"/>
                                </w:rPr>
                                <m:t xml:space="preserve">L</m:t>
                              </m:r>
                            </m:sub>
                          </m:sSub>
                        </m:oMath>
                        <w:r>
                          <w:rPr>
                            <w:rFonts w:eastAsia="Times New Roman" w:cs="Times New Roman"/>
                            <w:b/>
                            <w:bCs/>
                            <w:color w:val="000000"/>
                            <w:lang w:eastAsia="el-GR"/>
                          </w:rPr>
                          <w:t>: wage of legal immigrants</w:t>
                        </w:r>
                      </w:p>
                    </w:tc>
                    <w:tc>
                      <w:tcPr>
                        <w:tcW w:w="1261" w:type="dxa"/>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0.10</w:t>
                        </w:r>
                      </w:p>
                    </w:tc>
                    <w:tc>
                      <w:tcPr>
                        <w:tcW w:w="1348" w:type="dxa"/>
                        <w:tcBorders>
                          <w:top w:val="nil"/>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0.48</w:t>
                        </w:r>
                      </w:p>
                    </w:tc>
                    <w:tc>
                      <w:tcPr>
                        <w:tcW w:w="1075" w:type="dxa"/>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0.10</w:t>
                        </w:r>
                      </w:p>
                    </w:tc>
                    <w:tc>
                      <w:tcPr>
                        <w:tcW w:w="1026" w:type="dxa"/>
                        <w:tcBorders>
                          <w:top w:val="nil"/>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0.51</w:t>
                        </w:r>
                      </w:p>
                    </w:tc>
                    <w:tc>
                      <w:tcPr>
                        <w:tcW w:w="1125" w:type="dxa"/>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0.10</w:t>
                        </w:r>
                      </w:p>
                    </w:tc>
                    <w:tc>
                      <w:tcPr>
                        <w:tcW w:w="975" w:type="dxa"/>
                        <w:tcBorders>
                          <w:top w:val="nil"/>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0.49</w:t>
                        </w:r>
                      </w:p>
                    </w:tc>
                    <w:tc>
                      <w:tcPr>
                        <w:tcW w:w="922" w:type="dxa"/>
                        <w:gridSpan w:val="2"/>
                        <w:tcBorders>
                          <w:top w:val="nil"/>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-0.35</w:t>
                        </w:r>
                      </w:p>
                    </w:tc>
                    <w:tc>
                      <w:tcPr>
                        <w:tcW w:w="928" w:type="dxa"/>
                        <w:tcBorders>
                          <w:top w:val="nil"/>
                          <w:left w:val="nil"/>
                          <w:bottom w:val="dotted" w:sz="4" w:space="0" w:color="00000A"/>
                          <w:insideH w:val="dotted" w:sz="4"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-1.29</w:t>
                        </w:r>
                      </w:p>
                    </w:tc>
                  </w:tr>
                  <w:tr>
                    <w:trPr>
                      <w:trHeight w:val="271" w:hRule="exact"/>
                      <w:cantSplit w:val="false"/>
                    </w:trPr>
                    <w:tc>
                      <w:tcPr>
                        <w:tcW w:w="4787" w:type="dxa"/>
                        <w:tcBorders>
                          <w:top w:val="nil"/>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w</m:t>
                              </m:r>
                            </m:e>
                            <m:sub>
                              <m:r>
                                <w:rPr>
                                  <w:rFonts w:ascii="Cambria Math" w:hAnsi="Cambria Math"/>
                                </w:rPr>
                                <m:t xml:space="preserve">1</m:t>
                              </m:r>
                              <m:r>
                                <w:rPr>
                                  <w:rFonts w:ascii="Cambria Math" w:hAnsi="Cambria Math"/>
                                </w:rPr>
                                <m:t xml:space="preserve">I</m:t>
                              </m:r>
                            </m:sub>
                          </m:sSub>
                        </m:oMath>
                        <w:r>
                          <w:rPr>
                            <w:rFonts w:eastAsia="Times New Roman" w:cs="Times New Roman"/>
                            <w:b/>
                            <w:bCs/>
                            <w:color w:val="000000"/>
                            <w:lang w:eastAsia="el-GR"/>
                          </w:rPr>
                          <w:t>: wage of illegal immigrants</w:t>
                        </w:r>
                      </w:p>
                    </w:tc>
                    <w:tc>
                      <w:tcPr>
                        <w:tcW w:w="126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0.09</w:t>
                        </w:r>
                      </w:p>
                    </w:tc>
                    <w:tc>
                      <w:tcPr>
                        <w:tcW w:w="1348"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0.46</w:t>
                        </w:r>
                      </w:p>
                    </w:tc>
                    <w:tc>
                      <w:tcPr>
                        <w:tcW w:w="1075"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-0.68</w:t>
                        </w:r>
                      </w:p>
                    </w:tc>
                    <w:tc>
                      <w:tcPr>
                        <w:tcW w:w="1026"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-3.31</w:t>
                        </w:r>
                      </w:p>
                    </w:tc>
                    <w:tc>
                      <w:tcPr>
                        <w:tcW w:w="1125"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-0.08</w:t>
                        </w:r>
                      </w:p>
                    </w:tc>
                    <w:tc>
                      <w:tcPr>
                        <w:tcW w:w="975"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-0.73</w:t>
                        </w:r>
                      </w:p>
                    </w:tc>
                    <w:tc>
                      <w:tcPr>
                        <w:tcW w:w="922" w:type="dxa"/>
                        <w:gridSpan w:val="2"/>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-0.49</w:t>
                        </w:r>
                      </w:p>
                    </w:tc>
                    <w:tc>
                      <w:tcPr>
                        <w:tcW w:w="928" w:type="dxa"/>
                        <w:tcBorders>
                          <w:top w:val="nil"/>
                          <w:left w:val="nil"/>
                          <w:bottom w:val="single" w:sz="4" w:space="0" w:color="00000A"/>
                          <w:insideH w:val="single" w:sz="4"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-2.17</w:t>
                        </w:r>
                      </w:p>
                    </w:tc>
                  </w:tr>
                  <w:tr>
                    <w:trPr>
                      <w:trHeight w:val="276" w:hRule="exact"/>
                      <w:cantSplit w:val="false"/>
                    </w:trPr>
                    <w:tc>
                      <w:tcPr>
                        <w:tcW w:w="13447" w:type="dxa"/>
                        <w:gridSpan w:val="10"/>
                        <w:tcBorders>
                          <w:top w:val="single" w:sz="4" w:space="0" w:color="00000A"/>
                          <w:left w:val="single" w:sz="4" w:space="0" w:color="00000A"/>
                          <w:bottom w:val="dotted" w:sz="4" w:space="0" w:color="00000A"/>
                          <w:insideH w:val="dotted" w:sz="4" w:space="0" w:color="00000A"/>
                          <w:right w:val="single" w:sz="2" w:space="0" w:color="00000A"/>
                          <w:insideV w:val="single" w:sz="2" w:space="0" w:color="00000A"/>
                        </w:tcBorders>
                        <w:shd w:fill="FFFFFF" w:val="clear"/>
                        <w:tcMar>
                          <w:left w:w="103" w:type="dxa"/>
                        </w:tcMar>
                        <w:vAlign w:val="center"/>
                      </w:tcPr>
                      <w:p>
                        <w:pPr>
                          <w:pStyle w:val="Normal"/>
                          <w:jc w:val="center"/>
                          <w:rPr>
                            <w:b/>
                            <w:color w:val="000000"/>
                          </w:rPr>
                        </w:pPr>
                        <w:r>
                          <w:rPr>
                            <w:b/>
                            <w:color w:val="000000"/>
                          </w:rPr>
                          <w:t xml:space="preserve">Workers in Country 2 </w:t>
                        </w:r>
                      </w:p>
                    </w:tc>
                  </w:tr>
                  <w:tr>
                    <w:trPr>
                      <w:trHeight w:val="349" w:hRule="exact"/>
                      <w:cantSplit w:val="false"/>
                    </w:trPr>
                    <w:tc>
                      <w:tcPr>
                        <w:tcW w:w="478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2</m:t>
                              </m:r>
                            </m:sub>
                            <m:sup/>
                          </m:sSubSup>
                        </m:oMath>
                        <w:r>
                          <w:rPr>
                            <w:rFonts w:eastAsia="Times New Roman" w:cs="Times New Roman"/>
                            <w:b/>
                            <w:bCs/>
                            <w:color w:val="000000"/>
                            <w:lang w:val="en-GB" w:eastAsia="el-GR"/>
                          </w:rPr>
                          <w:t>:  market tightness</w:t>
                        </w:r>
                      </w:p>
                    </w:tc>
                    <w:tc>
                      <w:tcPr>
                        <w:tcW w:w="126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0.49</w:t>
                        </w:r>
                      </w:p>
                    </w:tc>
                    <w:tc>
                      <w:tcPr>
                        <w:tcW w:w="1348"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2.43</w:t>
                        </w:r>
                      </w:p>
                    </w:tc>
                    <w:tc>
                      <w:tcPr>
                        <w:tcW w:w="1075"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0.90</w:t>
                        </w:r>
                      </w:p>
                    </w:tc>
                    <w:tc>
                      <w:tcPr>
                        <w:tcW w:w="1026"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3.54</w:t>
                        </w:r>
                      </w:p>
                    </w:tc>
                    <w:tc>
                      <w:tcPr>
                        <w:tcW w:w="1125"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0.49</w:t>
                        </w:r>
                      </w:p>
                    </w:tc>
                    <w:tc>
                      <w:tcPr>
                        <w:tcW w:w="975"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2.52</w:t>
                        </w:r>
                      </w:p>
                    </w:tc>
                    <w:tc>
                      <w:tcPr>
                        <w:tcW w:w="922"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-2.08</w:t>
                        </w:r>
                      </w:p>
                    </w:tc>
                    <w:tc>
                      <w:tcPr>
                        <w:tcW w:w="928" w:type="dxa"/>
                        <w:tcBorders>
                          <w:top w:val="single" w:sz="4" w:space="0" w:color="00000A"/>
                          <w:left w:val="nil"/>
                          <w:bottom w:val="dotted" w:sz="4" w:space="0" w:color="00000A"/>
                          <w:insideH w:val="dotted" w:sz="4"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-9.30</w:t>
                        </w:r>
                      </w:p>
                    </w:tc>
                  </w:tr>
                  <w:tr>
                    <w:trPr>
                      <w:trHeight w:val="379" w:hRule="exact"/>
                      <w:cantSplit w:val="false"/>
                    </w:trPr>
                    <w:tc>
                      <w:tcPr>
                        <w:tcW w:w="4787" w:type="dxa"/>
                        <w:tcBorders>
                          <w:top w:val="single" w:sz="4" w:space="0" w:color="00000A"/>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2</m:t>
                              </m:r>
                            </m:sub>
                            <m:sup/>
                          </m:sSubSup>
                        </m:oMath>
                        <w:r>
                          <w:rPr>
                            <w:rFonts w:eastAsia="Times New Roman" w:cs="Times New Roman"/>
                            <w:b/>
                            <w:bCs/>
                            <w:color w:val="000000"/>
                            <w:lang w:eastAsia="el-GR"/>
                          </w:rPr>
                          <w:t>: u</w:t>
                        </w:r>
                        <w:r>
                          <w:rPr>
                            <w:rFonts w:eastAsia="Calibri" w:cs="Times New Roman"/>
                            <w:b/>
                            <w:bCs/>
                            <w:color w:val="000000"/>
                            <w:lang w:eastAsia="el-GR"/>
                          </w:rPr>
                          <w:t>nemployment rate</w:t>
                        </w:r>
                      </w:p>
                    </w:tc>
                    <w:tc>
                      <w:tcPr>
                        <w:tcW w:w="1261"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-0.15</w:t>
                        </w:r>
                      </w:p>
                    </w:tc>
                    <w:tc>
                      <w:tcPr>
                        <w:tcW w:w="1348" w:type="dxa"/>
                        <w:tcBorders>
                          <w:top w:val="single"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-0.71</w:t>
                        </w:r>
                      </w:p>
                    </w:tc>
                    <w:tc>
                      <w:tcPr>
                        <w:tcW w:w="1075"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-0.26</w:t>
                        </w:r>
                      </w:p>
                    </w:tc>
                    <w:tc>
                      <w:tcPr>
                        <w:tcW w:w="1026" w:type="dxa"/>
                        <w:tcBorders>
                          <w:top w:val="single"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-1.02</w:t>
                        </w:r>
                      </w:p>
                    </w:tc>
                    <w:tc>
                      <w:tcPr>
                        <w:tcW w:w="1125"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-0.14</w:t>
                        </w:r>
                      </w:p>
                    </w:tc>
                    <w:tc>
                      <w:tcPr>
                        <w:tcW w:w="975" w:type="dxa"/>
                        <w:tcBorders>
                          <w:top w:val="single"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-0.73</w:t>
                        </w:r>
                      </w:p>
                    </w:tc>
                    <w:tc>
                      <w:tcPr>
                        <w:tcW w:w="922" w:type="dxa"/>
                        <w:gridSpan w:val="2"/>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0.62</w:t>
                        </w:r>
                      </w:p>
                    </w:tc>
                    <w:tc>
                      <w:tcPr>
                        <w:tcW w:w="928" w:type="dxa"/>
                        <w:tcBorders>
                          <w:top w:val="single" w:sz="4" w:space="0" w:color="00000A"/>
                          <w:left w:val="nil"/>
                          <w:bottom w:val="single" w:sz="4" w:space="0" w:color="00000A"/>
                          <w:insideH w:val="single" w:sz="4"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2.89</w:t>
                        </w:r>
                      </w:p>
                    </w:tc>
                  </w:tr>
                  <w:tr>
                    <w:trPr>
                      <w:trHeight w:val="428" w:hRule="exact"/>
                      <w:cantSplit w:val="false"/>
                    </w:trPr>
                    <w:tc>
                      <w:tcPr>
                        <w:tcW w:w="4787" w:type="dxa"/>
                        <w:tcBorders>
                          <w:top w:val="single" w:sz="4" w:space="0" w:color="00000A"/>
                          <w:left w:val="single" w:sz="4" w:space="0" w:color="00000A"/>
                          <w:bottom w:val="single" w:sz="2" w:space="0" w:color="00000A"/>
                          <w:insideH w:val="single" w:sz="2"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2</m:t>
                              </m:r>
                            </m:sub>
                            <m:sup/>
                          </m:sSubSup>
                          <m:r>
                            <w:rPr>
                              <w:rFonts w:ascii="Cambria Math" w:hAnsi="Cambria Math"/>
                            </w:rPr>
                            <m:t xml:space="preserve">:</m:t>
                          </m:r>
                        </m:oMath>
                        <w:r>
                          <w:rPr>
                            <w:rFonts w:eastAsia="Times New Roman" w:cs="Times New Roman"/>
                            <w:b/>
                            <w:bCs/>
                            <w:color w:val="000000"/>
                            <w:lang w:eastAsia="el-GR"/>
                          </w:rPr>
                          <w:t>w</w:t>
                        </w:r>
                        <w:r>
                          <w:rPr>
                            <w:rFonts w:eastAsia="Calibri" w:cs="Times New Roman"/>
                            <w:b/>
                            <w:bCs/>
                            <w:color w:val="000000"/>
                            <w:lang w:eastAsia="el-GR"/>
                          </w:rPr>
                          <w:t>age</w:t>
                        </w:r>
                      </w:p>
                    </w:tc>
                    <w:tc>
                      <w:tcPr>
                        <w:tcW w:w="1261" w:type="dxa"/>
                        <w:tcBorders>
                          <w:top w:val="single" w:sz="4" w:space="0" w:color="00000A"/>
                          <w:left w:val="double" w:sz="4" w:space="0" w:color="00000A"/>
                          <w:bottom w:val="single" w:sz="2" w:space="0" w:color="00000A"/>
                          <w:insideH w:val="single" w:sz="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1348" w:type="dxa"/>
                        <w:tcBorders>
                          <w:top w:val="single" w:sz="4" w:space="0" w:color="00000A"/>
                          <w:left w:val="nil"/>
                          <w:bottom w:val="single" w:sz="2" w:space="0" w:color="00000A"/>
                          <w:insideH w:val="single" w:sz="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-0.14</w:t>
                        </w:r>
                      </w:p>
                    </w:tc>
                    <w:tc>
                      <w:tcPr>
                        <w:tcW w:w="1075" w:type="dxa"/>
                        <w:tcBorders>
                          <w:top w:val="single" w:sz="4" w:space="0" w:color="00000A"/>
                          <w:left w:val="double" w:sz="4" w:space="0" w:color="00000A"/>
                          <w:bottom w:val="single" w:sz="2" w:space="0" w:color="00000A"/>
                          <w:insideH w:val="single" w:sz="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-0.05</w:t>
                        </w:r>
                      </w:p>
                    </w:tc>
                    <w:tc>
                      <w:tcPr>
                        <w:tcW w:w="1026" w:type="dxa"/>
                        <w:tcBorders>
                          <w:top w:val="single" w:sz="4" w:space="0" w:color="00000A"/>
                          <w:left w:val="nil"/>
                          <w:bottom w:val="single" w:sz="2" w:space="0" w:color="00000A"/>
                          <w:insideH w:val="single" w:sz="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-0.20</w:t>
                        </w:r>
                      </w:p>
                    </w:tc>
                    <w:tc>
                      <w:tcPr>
                        <w:tcW w:w="1125" w:type="dxa"/>
                        <w:tcBorders>
                          <w:top w:val="single" w:sz="4" w:space="0" w:color="00000A"/>
                          <w:left w:val="double" w:sz="4" w:space="0" w:color="00000A"/>
                          <w:bottom w:val="single" w:sz="2" w:space="0" w:color="00000A"/>
                          <w:insideH w:val="single" w:sz="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975" w:type="dxa"/>
                        <w:tcBorders>
                          <w:top w:val="single" w:sz="4" w:space="0" w:color="00000A"/>
                          <w:left w:val="nil"/>
                          <w:bottom w:val="single" w:sz="2" w:space="0" w:color="00000A"/>
                          <w:insideH w:val="single" w:sz="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-0.14</w:t>
                        </w:r>
                      </w:p>
                    </w:tc>
                    <w:tc>
                      <w:tcPr>
                        <w:tcW w:w="922" w:type="dxa"/>
                        <w:gridSpan w:val="2"/>
                        <w:tcBorders>
                          <w:top w:val="single" w:sz="4" w:space="0" w:color="00000A"/>
                          <w:left w:val="double" w:sz="4" w:space="0" w:color="00000A"/>
                          <w:bottom w:val="single" w:sz="2" w:space="0" w:color="00000A"/>
                          <w:insideH w:val="single" w:sz="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0.12</w:t>
                        </w:r>
                      </w:p>
                    </w:tc>
                    <w:tc>
                      <w:tcPr>
                        <w:tcW w:w="928" w:type="dxa"/>
                        <w:tcBorders>
                          <w:top w:val="single" w:sz="4" w:space="0" w:color="00000A"/>
                          <w:left w:val="nil"/>
                          <w:bottom w:val="single" w:sz="2" w:space="0" w:color="00000A"/>
                          <w:insideH w:val="single" w:sz="2" w:space="0" w:color="00000A"/>
                          <w:right w:val="single" w:sz="2" w:space="0" w:color="00000A"/>
                          <w:insideV w:val="single" w:sz="2" w:space="0" w:color="00000A"/>
                        </w:tcBorders>
                        <w:shd w:fill="FFFFFF" w:val="clear"/>
                        <w:vAlign w:val="bottom"/>
                      </w:tcPr>
                      <w:p>
                        <w:pPr>
                          <w:pStyle w:val="Normal"/>
                          <w:jc w:val="right"/>
                          <w:rPr>
                            <w:rFonts w:cs="Calibri"/>
                            <w:color w:val="000000"/>
                          </w:rPr>
                        </w:pPr>
                        <w:r>
                          <w:rPr>
                            <w:rFonts w:cs="Calibri"/>
                            <w:color w:val="000000"/>
                          </w:rPr>
                          <w:t>0.54</w:t>
                        </w:r>
                      </w:p>
                    </w:tc>
                  </w:tr>
                </w:tbl>
              </w:txbxContent>
            </v:textbox>
            <w10:wrap type="square"/>
          </v:rect>
        </w:pict>
      </w:r>
    </w:p>
    <w:p>
      <w:pPr>
        <w:pStyle w:val="Normal"/>
        <w:spacing w:lineRule="auto" w:line="240" w:before="0" w:after="0"/>
        <w:ind w:left="426" w:right="508" w:hanging="0"/>
        <w:jc w:val="both"/>
        <w:rPr>
          <w:rFonts w:eastAsia="Times New Roman" w:cs="Times New Roman"/>
          <w:bCs/>
          <w:color w:val="000000"/>
          <w:sz w:val="18"/>
          <w:szCs w:val="18"/>
          <w:lang w:eastAsia="el-GR"/>
        </w:rPr>
      </w:pPr>
      <w:r>
        <w:rPr>
          <w:rFonts w:eastAsia="Times New Roman" w:cs="Times New Roman"/>
          <w:b/>
          <w:bCs/>
          <w:color w:val="000000"/>
          <w:sz w:val="18"/>
          <w:szCs w:val="18"/>
          <w:lang w:eastAsia="el-GR"/>
        </w:rPr>
        <w:t>Note:</w:t>
      </w:r>
      <w:r>
        <w:rPr>
          <w:rFonts w:eastAsia="Times New Roman" w:cs="Times New Roman"/>
          <w:bCs/>
          <w:color w:val="000000"/>
          <w:sz w:val="18"/>
          <w:szCs w:val="18"/>
          <w:lang w:eastAsia="el-GR"/>
        </w:rPr>
        <w:t xml:space="preserve"> Each entry represents the percentage change in the corresponding variable described in the row header. The top two rows show the percentage change in the number of illegal immigrants and in the policy parameters. The next four rows show the labor market outcomes for unskilled legal and illegal immigrants in the US, the last three rows show the labor market outcomes of workers in Mexico. The columns correspond to different policy changes. Columns (1) and (2) represent the effects of increases in border controls. Columns (3) and (4) show the impact of increased search costs for illegal immigrants. Columns (5) and (6) show the effects of an increase in the probability of deportation. Columns (7) and (8) show the effects of an increase in the legalization rate. The values of the parameters used in the simulation are those reported in Table 1. </w:t>
      </w:r>
    </w:p>
    <w:p>
      <w:pPr>
        <w:pStyle w:val="Normal"/>
        <w:spacing w:lineRule="auto" w:line="240" w:before="0" w:after="0"/>
        <w:ind w:left="0" w:right="89" w:hanging="0"/>
        <w:jc w:val="both"/>
        <w:rPr>
          <w:rFonts w:eastAsia="Times New Roman" w:cs="Times New Roman"/>
          <w:b/>
          <w:bCs/>
          <w:color w:val="000000"/>
          <w:sz w:val="24"/>
          <w:szCs w:val="24"/>
          <w:lang w:eastAsia="el-GR"/>
        </w:rPr>
      </w:pPr>
      <w:r>
        <w:rPr>
          <w:rFonts w:eastAsia="Times New Roman" w:cs="Times New Roman"/>
          <w:b/>
          <w:bCs/>
          <w:color w:val="000000"/>
          <w:sz w:val="24"/>
          <w:szCs w:val="24"/>
          <w:lang w:eastAsia="el-GR"/>
        </w:rPr>
      </w:r>
    </w:p>
    <w:p>
      <w:pPr>
        <w:pStyle w:val="Normal"/>
        <w:jc w:val="center"/>
        <w:rPr>
          <w:b/>
          <w:sz w:val="28"/>
          <w:szCs w:val="28"/>
          <w:lang w:val="en-GB"/>
        </w:rPr>
      </w:pPr>
      <w:r>
        <w:rPr>
          <w:b/>
          <w:sz w:val="28"/>
          <w:szCs w:val="28"/>
          <w:lang w:val="en-GB"/>
        </w:rPr>
      </w:r>
    </w:p>
    <w:p>
      <w:pPr>
        <w:pStyle w:val="Normal"/>
        <w:tabs>
          <w:tab w:val="left" w:pos="2388" w:leader="none"/>
        </w:tabs>
        <w:rPr>
          <w:b/>
          <w:sz w:val="28"/>
          <w:szCs w:val="28"/>
        </w:rPr>
      </w:pPr>
      <w:r>
        <w:rPr>
          <w:b/>
          <w:sz w:val="28"/>
          <w:szCs w:val="28"/>
        </w:rPr>
        <w:tab/>
      </w:r>
    </w:p>
    <w:p>
      <w:pPr>
        <w:pStyle w:val="Normal"/>
        <w:rPr>
          <w:b/>
          <w:sz w:val="28"/>
          <w:szCs w:val="28"/>
        </w:rPr>
      </w:pPr>
      <w:r>
        <w:rPr>
          <w:b/>
          <w:sz w:val="28"/>
          <w:szCs w:val="28"/>
        </w:rPr>
      </w:r>
    </w:p>
    <w:p>
      <w:pPr>
        <w:pStyle w:val="Normal"/>
        <w:jc w:val="center"/>
        <w:rPr>
          <w:b/>
          <w:sz w:val="28"/>
          <w:szCs w:val="28"/>
        </w:rPr>
      </w:pPr>
      <w:r>
        <w:rPr>
          <w:b/>
          <w:sz w:val="28"/>
          <w:szCs w:val="28"/>
        </w:rPr>
        <w:t>Figure 1A: Effects of Policies on Immigrant Labor Market Outcomes</w:t>
      </w:r>
    </w:p>
    <w:p>
      <w:pPr>
        <w:pStyle w:val="Normal"/>
        <w:jc w:val="center"/>
        <w:rPr/>
      </w:pPr>
      <w:r>
        <w:rPr/>
        <w:drawing>
          <wp:inline distT="0" distB="0" distL="0" distR="0">
            <wp:extent cx="8495030" cy="471678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8495030" cy="4716780"/>
                    </a:xfrm>
                    <a:prstGeom prst="rect">
                      <a:avLst/>
                    </a:prstGeom>
                    <a:noFill/>
                    <a:ln w="9525">
                      <a:noFill/>
                      <a:miter lim="800000"/>
                      <a:headEnd/>
                      <a:tailEnd/>
                    </a:ln>
                  </pic:spPr>
                </pic:pic>
              </a:graphicData>
            </a:graphic>
          </wp:inline>
        </w:drawing>
      </w:r>
    </w:p>
    <w:p>
      <w:pPr>
        <w:pStyle w:val="Normal"/>
        <w:ind w:left="1620" w:right="1628" w:hanging="0"/>
        <w:jc w:val="both"/>
        <w:rPr>
          <w:sz w:val="18"/>
          <w:szCs w:val="18"/>
        </w:rPr>
      </w:pPr>
      <w:r>
        <w:rPr>
          <w:b/>
          <w:sz w:val="18"/>
          <w:szCs w:val="18"/>
        </w:rPr>
        <w:t xml:space="preserve">Note: </w:t>
      </w:r>
      <w:r>
        <w:rPr>
          <w:sz w:val="18"/>
          <w:szCs w:val="18"/>
        </w:rPr>
        <w:t>Each</w:t>
      </w:r>
      <w:r>
        <w:rPr>
          <w:b/>
          <w:sz w:val="18"/>
          <w:szCs w:val="18"/>
        </w:rPr>
        <w:t xml:space="preserve"> </w:t>
      </w:r>
      <w:r>
        <w:rPr>
          <w:sz w:val="18"/>
          <w:szCs w:val="18"/>
        </w:rPr>
        <w:t>Panel shows the percentage change of an outcome for immigrants workers in the vertical axis against the percentage change in the number of illegal immigrants on the horizontal axis produced by four different policies. The variables represented are wages (left panels) and unemployment rate (right panels). The top panels show variables relative to illegal immigrants whil</w:t>
      </w:r>
      <w:bookmarkStart w:id="0" w:name="_GoBack"/>
      <w:bookmarkEnd w:id="0"/>
      <w:r>
        <w:rPr>
          <w:sz w:val="18"/>
          <w:szCs w:val="18"/>
        </w:rPr>
        <w:t xml:space="preserve">e the bottom panels represent variables relative to legal immigrants. </w:t>
      </w:r>
    </w:p>
    <w:p>
      <w:pPr>
        <w:pStyle w:val="Normal"/>
        <w:rPr>
          <w:b/>
          <w:sz w:val="24"/>
          <w:szCs w:val="24"/>
        </w:rPr>
      </w:pPr>
      <w:r>
        <w:rPr>
          <w:b/>
          <w:sz w:val="24"/>
          <w:szCs w:val="24"/>
        </w:rPr>
      </w:r>
    </w:p>
    <w:p>
      <w:pPr>
        <w:pStyle w:val="Normal"/>
        <w:pageBreakBefore/>
        <w:spacing w:lineRule="auto" w:line="240" w:before="0" w:after="0"/>
        <w:jc w:val="center"/>
        <w:rPr>
          <w:b/>
          <w:sz w:val="24"/>
          <w:szCs w:val="24"/>
        </w:rPr>
      </w:pPr>
      <w:r>
        <w:rPr>
          <w:b/>
          <w:sz w:val="24"/>
          <w:szCs w:val="24"/>
        </w:rPr>
        <w:t>Table A2: Tighter Border Controls, Additional Robustness Checks</w:t>
      </w:r>
    </w:p>
    <w:tbl>
      <w:tblPr>
        <w:jc w:val="left"/>
        <w:tblInd w:w="108" w:type="dxa"/>
        <w:tblBorders>
          <w:top w:val="single" w:sz="4" w:space="0" w:color="00000A"/>
          <w:left w:val="single" w:sz="4" w:space="0" w:color="00000A"/>
          <w:bottom w:val="dotted" w:sz="4" w:space="0" w:color="00000A"/>
          <w:insideH w:val="dotted" w:sz="4" w:space="0" w:color="00000A"/>
          <w:right w:val="double" w:sz="4" w:space="0" w:color="00000A"/>
          <w:insideV w:val="double" w:sz="4" w:space="0" w:color="00000A"/>
        </w:tblBorders>
        <w:tblCellMar>
          <w:top w:w="0" w:type="dxa"/>
          <w:left w:w="103" w:type="dxa"/>
          <w:bottom w:w="0" w:type="dxa"/>
          <w:right w:w="108" w:type="dxa"/>
        </w:tblCellMar>
      </w:tblPr>
      <w:tblGrid>
        <w:gridCol w:w="4157"/>
        <w:gridCol w:w="900"/>
        <w:gridCol w:w="900"/>
        <w:gridCol w:w="900"/>
        <w:gridCol w:w="851"/>
        <w:gridCol w:w="851"/>
        <w:gridCol w:w="850"/>
        <w:gridCol w:w="851"/>
        <w:gridCol w:w="851"/>
        <w:gridCol w:w="851"/>
        <w:gridCol w:w="850"/>
        <w:gridCol w:w="851"/>
        <w:gridCol w:w="853"/>
      </w:tblGrid>
      <w:tr>
        <w:trPr>
          <w:trHeight w:val="893" w:hRule="atLeas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vAlign w:val="bottom"/>
          </w:tcPr>
          <w:p>
            <w:pPr>
              <w:pStyle w:val="Normal"/>
              <w:spacing w:lineRule="auto" w:line="240" w:before="0" w:after="0"/>
              <w:rPr>
                <w:rFonts w:eastAsia="Calibri" w:cs="Times New Roman"/>
                <w:color w:val="000000"/>
                <w:lang w:eastAsia="el-GR"/>
              </w:rPr>
            </w:pPr>
            <w:r>
              <w:rPr>
                <w:rFonts w:eastAsia="Calibri" w:cs="Times New Roman"/>
                <w:color w:val="000000"/>
                <w:lang w:eastAsia="el-GR"/>
              </w:rPr>
            </w:r>
          </w:p>
        </w:tc>
        <w:tc>
          <w:tcPr>
            <w:tcW w:w="1800" w:type="dxa"/>
            <w:gridSpan w:val="2"/>
            <w:tcBorders>
              <w:top w:val="single" w:sz="4" w:space="0" w:color="00000A"/>
              <w:left w:val="double" w:sz="4" w:space="0" w:color="00000A"/>
              <w:bottom w:val="single" w:sz="4" w:space="0" w:color="00000A"/>
              <w:insideH w:val="single" w:sz="4" w:space="0" w:color="00000A"/>
              <w:right w:val="double" w:sz="4" w:space="0" w:color="00000A"/>
              <w:insideV w:val="doub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0.6</w:t>
            </w:r>
          </w:p>
        </w:tc>
        <w:tc>
          <w:tcPr>
            <w:tcW w:w="175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0.33</w:t>
            </w:r>
          </w:p>
        </w:tc>
        <w:tc>
          <w:tcPr>
            <w:tcW w:w="170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0.8</w:t>
            </w:r>
          </w:p>
        </w:tc>
        <w:tc>
          <w:tcPr>
            <w:tcW w:w="1702"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0.2</w:t>
            </w:r>
          </w:p>
        </w:tc>
        <w:tc>
          <w:tcPr>
            <w:tcW w:w="1701"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Larger country 2 separation rate </w:t>
            </w:r>
            <w:r>
              <w:rPr>
                <w:rFonts w:eastAsia="Times New Roman" w:cs="Times New Roman"/>
                <w:b/>
                <w:i/>
                <w:color w:val="000000"/>
                <w:lang w:val="en-GB" w:eastAsia="el-GR"/>
              </w:rPr>
            </w:r>
            <m:oMath xmlns:m="http://schemas.openxmlformats.org/officeDocument/2006/math">
              <m:sSub>
                <m:e>
                  <m:r>
                    <w:rPr>
                      <w:rFonts w:ascii="Cambria Math" w:hAnsi="Cambria Math"/>
                    </w:rPr>
                    <m:t xml:space="preserve">σ</m:t>
                  </m:r>
                </m:e>
                <m:sub>
                  <m:r>
                    <w:rPr>
                      <w:rFonts w:ascii="Cambria Math" w:hAnsi="Cambria Math"/>
                    </w:rPr>
                    <m:t xml:space="preserve">2</m:t>
                  </m:r>
                </m:sub>
              </m:sSub>
              <m:r>
                <w:rPr>
                  <w:rFonts w:ascii="Cambria Math" w:hAnsi="Cambria Math"/>
                </w:rPr>
                <m:t xml:space="preserve">=</m:t>
              </m:r>
            </m:oMath>
            <w:r>
              <w:rPr>
                <w:rFonts w:eastAsia="Times New Roman" w:cs="Times New Roman"/>
                <w:b/>
                <w:i/>
                <w:color w:val="000000"/>
                <w:lang w:eastAsia="el-GR"/>
              </w:rPr>
              <w:t>0.05</w:t>
            </w:r>
          </w:p>
        </w:tc>
        <w:tc>
          <w:tcPr>
            <w:tcW w:w="1704" w:type="dxa"/>
            <w:gridSpan w:val="2"/>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Smaller bargaining power </w:t>
            </w:r>
            <w:r>
              <w:rPr>
                <w:rFonts w:eastAsia="Times New Roman" w:cs="Times New Roman"/>
                <w:b/>
                <w:i/>
                <w:color w:val="000000"/>
                <w:lang w:val="en-GB" w:eastAsia="el-GR"/>
              </w:rPr>
            </w:r>
            <m:oMath xmlns:m="http://schemas.openxmlformats.org/officeDocument/2006/math">
              <m:r>
                <w:rPr>
                  <w:rFonts w:ascii="Cambria Math" w:hAnsi="Cambria Math"/>
                </w:rPr>
                <m:t xml:space="preserve">β</m:t>
              </m:r>
              <m:r>
                <w:rPr>
                  <w:rFonts w:ascii="Cambria Math" w:hAnsi="Cambria Math"/>
                </w:rPr>
                <m:t xml:space="preserve">=</m:t>
              </m:r>
            </m:oMath>
            <w:r>
              <w:rPr>
                <w:rFonts w:eastAsia="Times New Roman" w:cs="Times New Roman"/>
                <w:b/>
                <w:i/>
                <w:color w:val="000000"/>
                <w:lang w:eastAsia="el-GR"/>
              </w:rPr>
              <w:t>0.3</w:t>
            </w:r>
          </w:p>
        </w:tc>
      </w:tr>
      <w:tr>
        <w:trPr>
          <w:trHeight w:val="373"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Fonts w:eastAsia="Times New Roman" w:cs="Times New Roman"/>
                <w:b/>
                <w:color w:val="000000"/>
                <w:lang w:eastAsia="el-GR"/>
              </w:rPr>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color w:val="000000"/>
              </w:rPr>
            </w:pPr>
            <w:r>
              <w:rPr>
                <w:color w:val="000000"/>
              </w:rPr>
              <w:t>(2)</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(5)</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(7)</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jc w:val="right"/>
              <w:rPr>
                <w:color w:val="000000"/>
              </w:rPr>
            </w:pPr>
            <w:r>
              <w:rPr>
                <w:color w:val="000000"/>
              </w:rPr>
              <w:t>(9)</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(10)</w:t>
            </w:r>
          </w:p>
        </w:tc>
        <w:tc>
          <w:tcPr>
            <w:tcW w:w="851"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color w:val="000000"/>
              </w:rPr>
            </w:pPr>
            <w:r>
              <w:rPr>
                <w:color w:val="000000"/>
              </w:rPr>
              <w:t>(11)</w:t>
            </w:r>
          </w:p>
        </w:tc>
        <w:tc>
          <w:tcPr>
            <w:tcW w:w="8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t>(12)</w:t>
            </w:r>
          </w:p>
        </w:tc>
      </w:tr>
      <w:tr>
        <w:trPr>
          <w:trHeight w:val="373"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
            <m:oMath xmlns:m="http://schemas.openxmlformats.org/officeDocument/2006/math">
              <m:r>
                <w:rPr>
                  <w:rFonts w:ascii="Cambria Math" w:hAnsi="Cambria Math"/>
                </w:rPr>
                <m:t xml:space="preserve">I</m:t>
              </m:r>
            </m:oMath>
            <w:r>
              <w:rPr>
                <w:rFonts w:eastAsia="Times New Roman" w:cs="Times New Roman"/>
                <w:b/>
                <w:color w:val="000000"/>
                <w:lang w:eastAsia="el-GR"/>
              </w:rPr>
              <w:t>: stock of illegal Immigrants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color w:val="000000"/>
              </w:rPr>
            </w:pPr>
            <w:r>
              <w:rPr>
                <w:color w:val="000000"/>
              </w:rPr>
              <w:t>-10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color w:val="000000"/>
              </w:rPr>
            </w:pPr>
            <w:r>
              <w:rPr>
                <w:color w:val="000000"/>
              </w:rPr>
              <w:t>-10</w:t>
            </w:r>
          </w:p>
        </w:tc>
        <w:tc>
          <w:tcPr>
            <w:tcW w:w="8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rPr>
                <w:rFonts w:eastAsia="Times New Roman" w:cs="Times New Roman"/>
                <w:color w:val="000000"/>
                <w:lang w:val="en-GB" w:eastAsia="el-GR"/>
              </w:rPr>
            </w:pPr>
            <w:r>
              <w:rPr>
                <w:rFonts w:eastAsia="Times New Roman" w:cs="Times New Roman"/>
                <w:color w:val="000000"/>
                <w:lang w:val="en-GB" w:eastAsia="el-GR"/>
              </w:rPr>
            </w:r>
          </w:p>
        </w:tc>
      </w:tr>
      <w:tr>
        <w:trPr>
          <w:trHeight w:val="445" w:hRule="exact"/>
          <w:cantSplit w:val="false"/>
        </w:trPr>
        <w:tc>
          <w:tcPr>
            <w:tcW w:w="4157"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μ</m:t>
                  </m:r>
                </m:e>
                <m:sub>
                  <m:r>
                    <w:rPr>
                      <w:rFonts w:ascii="Cambria Math" w:hAnsi="Cambria Math"/>
                    </w:rPr>
                    <m:t xml:space="preserve">I</m:t>
                  </m:r>
                </m:sub>
              </m:sSub>
            </m:oMath>
            <w:r>
              <w:rPr>
                <w:rFonts w:eastAsia="Times New Roman" w:cs="Times New Roman"/>
                <w:b/>
                <w:bCs/>
                <w:color w:val="000000"/>
                <w:lang w:eastAsia="el-GR"/>
              </w:rPr>
              <w:t>: entry rate for illegal immigrants</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-10.14</w:t>
            </w:r>
          </w:p>
        </w:tc>
        <w:tc>
          <w:tcPr>
            <w:tcW w:w="900"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-50.30</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-10.78</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-52.09</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-9.45</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-48.28</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-11.03</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-52.75</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-10.39</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-51.01</w:t>
            </w:r>
          </w:p>
        </w:tc>
        <w:tc>
          <w:tcPr>
            <w:tcW w:w="851" w:type="dxa"/>
            <w:tcBorders>
              <w:top w:val="single" w:sz="4" w:space="0" w:color="00000A"/>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-10.68</w:t>
            </w:r>
          </w:p>
        </w:tc>
        <w:tc>
          <w:tcPr>
            <w:tcW w:w="85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-51.85</w:t>
            </w:r>
          </w:p>
        </w:tc>
      </w:tr>
      <w:tr>
        <w:trPr>
          <w:trHeight w:val="384" w:hRule="exact"/>
          <w:cantSplit w:val="false"/>
        </w:trPr>
        <w:tc>
          <w:tcPr>
            <w:tcW w:w="14516" w:type="dxa"/>
            <w:gridSpan w:val="13"/>
            <w:tcBorders>
              <w:top w:val="dotted"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lineRule="auto" w:line="240" w:before="0" w:after="0"/>
              <w:jc w:val="center"/>
              <w:rPr>
                <w:b/>
                <w:color w:val="000000"/>
              </w:rPr>
            </w:pPr>
            <w:r>
              <w:rPr>
                <w:b/>
                <w:color w:val="000000"/>
              </w:rPr>
              <w:t>Unskilled market, outcomes for natives, percentage change</w:t>
            </w:r>
          </w:p>
        </w:tc>
      </w:tr>
      <w:tr>
        <w:trPr>
          <w:trHeight w:val="384" w:hRule="exact"/>
          <w:cantSplit w:val="false"/>
        </w:trPr>
        <w:tc>
          <w:tcPr>
            <w:tcW w:w="4157"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u</m:t>
                  </m:r>
                </m:sup>
              </m:sSubSup>
            </m:oMath>
            <w:r>
              <w:rPr>
                <w:rFonts w:eastAsia="Times New Roman" w:cs="Times New Roman"/>
                <w:b/>
                <w:bCs/>
                <w:color w:val="000000"/>
                <w:lang w:val="en-GB" w:eastAsia="el-GR"/>
              </w:rPr>
              <w:t>:  market tightness</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-0.69</w:t>
            </w:r>
          </w:p>
        </w:tc>
        <w:tc>
          <w:tcPr>
            <w:tcW w:w="900"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-3.49</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-0.48</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-2.41</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-0.70</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-3.53</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-0.54</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-2.73</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-0.60</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-3.07</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-0.13</w:t>
            </w:r>
          </w:p>
        </w:tc>
        <w:tc>
          <w:tcPr>
            <w:tcW w:w="853" w:type="dxa"/>
            <w:tcBorders>
              <w:top w:val="dotted" w:sz="4" w:space="0" w:color="00000A"/>
              <w:left w:val="nil"/>
              <w:bottom w:val="single" w:sz="4" w:space="0" w:color="00000A"/>
              <w:insideH w:val="single"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-0.65</w:t>
            </w:r>
          </w:p>
        </w:tc>
      </w:tr>
      <w:tr>
        <w:trPr>
          <w:trHeight w:val="427"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unemployment rate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0.25</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1.31</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0.17</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0.90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0.41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2.12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0.08</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0.41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0.22</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1.14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0.05</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0.24</w:t>
            </w:r>
          </w:p>
        </w:tc>
      </w:tr>
      <w:tr>
        <w:trPr>
          <w:trHeight w:val="44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wage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0.09</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0.44</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0.14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0.73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0.12</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0.60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0.53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0.56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0.08</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0.42</w:t>
            </w:r>
          </w:p>
        </w:tc>
      </w:tr>
      <w:tr>
        <w:trPr>
          <w:trHeight w:val="454"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spacing w:lineRule="auto" w:line="240" w:before="0" w:after="0"/>
              <w:jc w:val="center"/>
              <w:rPr>
                <w:b/>
                <w:color w:val="000000"/>
              </w:rPr>
            </w:pPr>
            <w:r>
              <w:rPr>
                <w:b/>
                <w:color w:val="000000"/>
              </w:rPr>
              <w:t>Skilled market, outcomes for natives, percentage change</w:t>
            </w:r>
          </w:p>
        </w:tc>
      </w:tr>
      <w:tr>
        <w:trPr>
          <w:trHeight w:val="45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s</m:t>
                  </m:r>
                </m:sup>
              </m:sSubSup>
            </m:oMath>
            <w:r>
              <w:rPr>
                <w:rFonts w:eastAsia="Times New Roman" w:cs="Times New Roman"/>
                <w:b/>
                <w:bCs/>
                <w:color w:val="000000"/>
                <w:lang w:val="en-GB" w:eastAsia="el-GR"/>
              </w:rPr>
              <w:t>:  market tightness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-0.22</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-1.09</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-0.32</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-1.63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-0.33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-1.67</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-0.21</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-1.05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-0.26</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-1.31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-0.22</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-1.10</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oMath>
            <w:r>
              <w:rPr>
                <w:rFonts w:eastAsia="Times New Roman" w:cs="Times New Roman"/>
                <w:b/>
                <w:bCs/>
                <w:color w:val="000000"/>
                <w:lang w:eastAsia="el-GR"/>
              </w:rPr>
              <w:t>: u</w:t>
            </w:r>
            <w:r>
              <w:rPr>
                <w:rFonts w:eastAsia="Calibri" w:cs="Times New Roman"/>
                <w:b/>
                <w:bCs/>
                <w:color w:val="000000"/>
                <w:lang w:eastAsia="el-GR"/>
              </w:rPr>
              <w:t>nemployment rate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0.09</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0.48</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0.14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0.72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0.23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1.18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0.18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0.57</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0.10</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0.48</w:t>
            </w:r>
          </w:p>
        </w:tc>
      </w:tr>
      <w:tr>
        <w:trPr>
          <w:trHeight w:val="44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r>
                <w:rPr>
                  <w:rFonts w:ascii="Cambria Math" w:hAnsi="Cambria Math"/>
                </w:rPr>
                <m:t xml:space="preserve">:</m:t>
              </m:r>
            </m:oMath>
            <w:r>
              <w:rPr>
                <w:rFonts w:eastAsia="Times New Roman" w:cs="Times New Roman"/>
                <w:b/>
                <w:bCs/>
                <w:color w:val="000000"/>
                <w:lang w:eastAsia="el-GR"/>
              </w:rPr>
              <w:t>w</w:t>
            </w:r>
            <w:r>
              <w:rPr>
                <w:rFonts w:eastAsia="Calibri" w:cs="Times New Roman"/>
                <w:b/>
                <w:bCs/>
                <w:color w:val="000000"/>
                <w:lang w:eastAsia="el-GR"/>
              </w:rPr>
              <w:t>age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-0.06</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-0.29</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-0.09</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-0.44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-0.08</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-0.43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-0.06</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-0.30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-0.07</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-0.35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-0.06</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-0.29</w:t>
            </w:r>
          </w:p>
        </w:tc>
      </w:tr>
      <w:tr>
        <w:trPr>
          <w:trHeight w:val="445"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spacing w:lineRule="auto" w:line="240" w:before="0" w:after="0"/>
              <w:jc w:val="center"/>
              <w:rPr>
                <w:b/>
                <w:color w:val="000000"/>
              </w:rPr>
            </w:pPr>
            <w:r>
              <w:rPr>
                <w:b/>
                <w:color w:val="000000"/>
              </w:rPr>
              <w:t>Native income per person, percentage change</w:t>
            </w:r>
          </w:p>
        </w:tc>
      </w:tr>
      <w:tr>
        <w:trPr>
          <w:trHeight w:val="319"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it-IT"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sub>
              </m:sSub>
            </m:oMath>
            <w:r>
              <w:rPr>
                <w:rFonts w:eastAsia="Times New Roman" w:cs="Times New Roman"/>
                <w:b/>
                <w:bCs/>
                <w:color w:val="000000"/>
                <w:lang w:val="it-IT" w:eastAsia="el-GR"/>
              </w:rPr>
              <w:t xml:space="preserve">: </w:t>
            </w:r>
            <w:r>
              <w:rPr>
                <w:rFonts w:eastAsia="Times New Roman" w:cs="Times New Roman"/>
                <w:b/>
                <w:bCs/>
                <w:color w:val="000000"/>
                <w:lang w:val="it-IT" w:eastAsia="el-GR"/>
              </w:rPr>
              <w:t xml:space="preserve"> income per native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-0.02</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-0.13</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-0.03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-0.13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-0.04</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-0.21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-0.01</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-0.07</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-0.02</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-0.11</w:t>
            </w:r>
          </w:p>
        </w:tc>
      </w:tr>
      <w:tr>
        <w:trPr>
          <w:trHeight w:val="567" w:hRule="exact"/>
          <w:cantSplit w:val="false"/>
        </w:trPr>
        <w:tc>
          <w:tcPr>
            <w:tcW w:w="4157" w:type="dxa"/>
            <w:tcBorders>
              <w:top w:val="nil"/>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r>
                    <w:rPr>
                      <w:rFonts w:ascii="Cambria Math" w:hAnsi="Cambria Math"/>
                    </w:rPr>
                    <m:t xml:space="preserve">a</m:t>
                  </m:r>
                </m:sub>
              </m:sSub>
            </m:oMath>
            <w:r>
              <w:rPr>
                <w:rFonts w:eastAsia="Times New Roman" w:cs="Times New Roman"/>
                <w:b/>
                <w:bCs/>
                <w:color w:val="000000"/>
                <w:lang w:eastAsia="el-GR"/>
              </w:rPr>
              <w:t>:</w:t>
            </w:r>
            <w:r>
              <w:rPr>
                <w:rFonts w:eastAsia="Times New Roman" w:cs="Times New Roman"/>
                <w:b/>
                <w:bCs/>
                <w:color w:val="000000"/>
                <w:lang w:eastAsia="el-GR"/>
              </w:rPr>
              <w:t xml:space="preserve"> income per native net of unemployment benefits</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-0.05</w:t>
            </w:r>
          </w:p>
        </w:tc>
        <w:tc>
          <w:tcPr>
            <w:tcW w:w="900" w:type="dxa"/>
            <w:tcBorders>
              <w:top w:val="nil"/>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tcPr>
          <w:p>
            <w:pPr>
              <w:pStyle w:val="Normal"/>
              <w:spacing w:lineRule="auto" w:line="240" w:before="0" w:after="0"/>
              <w:rPr>
                <w:rFonts w:cs="Calibri"/>
                <w:color w:val="000000"/>
              </w:rPr>
            </w:pPr>
            <w:r>
              <w:rPr>
                <w:rFonts w:cs="Calibri"/>
                <w:color w:val="000000"/>
              </w:rPr>
              <w:t>-0.28</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color w:val="000000"/>
              </w:rPr>
            </w:pPr>
            <w:r>
              <w:rPr>
                <w:color w:val="000000"/>
              </w:rPr>
              <w:t>-0.05</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color w:val="000000"/>
              </w:rPr>
            </w:pPr>
            <w:r>
              <w:rPr>
                <w:color w:val="000000"/>
              </w:rPr>
              <w:t>-0.27</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-0.09</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-0.49</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-0.03</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-0.13</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cs="Calibri"/>
                <w:color w:val="000000"/>
              </w:rPr>
            </w:pPr>
            <w:r>
              <w:rPr>
                <w:rFonts w:cs="Calibri"/>
                <w:color w:val="000000"/>
              </w:rPr>
              <w:t>-0.05</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tcPr>
          <w:p>
            <w:pPr>
              <w:pStyle w:val="Normal"/>
              <w:spacing w:lineRule="auto" w:line="240" w:before="0" w:after="0"/>
              <w:rPr>
                <w:rFonts w:cs="Calibri"/>
                <w:color w:val="000000"/>
              </w:rPr>
            </w:pPr>
            <w:r>
              <w:rPr>
                <w:rFonts w:cs="Calibri"/>
                <w:color w:val="000000"/>
              </w:rPr>
              <w:t>-0.28</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cs="Calibri"/>
                <w:color w:val="000000"/>
              </w:rPr>
            </w:pPr>
            <w:r>
              <w:rPr>
                <w:rFonts w:cs="Calibri"/>
                <w:color w:val="000000"/>
              </w:rPr>
              <w:t>-0.03</w:t>
            </w:r>
          </w:p>
        </w:tc>
        <w:tc>
          <w:tcPr>
            <w:tcW w:w="853" w:type="dxa"/>
            <w:tcBorders>
              <w:top w:val="nil"/>
              <w:left w:val="nil"/>
              <w:bottom w:val="single" w:sz="4" w:space="0" w:color="00000A"/>
              <w:insideH w:val="single" w:sz="4" w:space="0" w:color="00000A"/>
              <w:right w:val="single" w:sz="4" w:space="0" w:color="00000A"/>
              <w:insideV w:val="single" w:sz="4" w:space="0" w:color="00000A"/>
            </w:tcBorders>
            <w:shd w:fill="auto" w:val="clear"/>
          </w:tcPr>
          <w:p>
            <w:pPr>
              <w:pStyle w:val="Normal"/>
              <w:spacing w:lineRule="auto" w:line="240" w:before="0" w:after="0"/>
              <w:rPr>
                <w:rFonts w:cs="Calibri"/>
                <w:color w:val="000000"/>
              </w:rPr>
            </w:pPr>
            <w:r>
              <w:rPr>
                <w:rFonts w:cs="Calibri"/>
                <w:color w:val="000000"/>
              </w:rPr>
              <w:t>-0.17</w:t>
            </w:r>
          </w:p>
        </w:tc>
      </w:tr>
    </w:tbl>
    <w:p>
      <w:pPr>
        <w:pStyle w:val="Normal"/>
        <w:spacing w:lineRule="auto" w:line="240" w:before="0" w:after="0"/>
        <w:ind w:left="0" w:right="89" w:hanging="0"/>
        <w:jc w:val="both"/>
        <w:rPr>
          <w:rFonts w:eastAsia="Times New Roman" w:cs="Times New Roman"/>
          <w:b/>
          <w:bCs/>
          <w:color w:val="000000"/>
          <w:sz w:val="18"/>
          <w:szCs w:val="18"/>
          <w:lang w:eastAsia="el-GR"/>
        </w:rPr>
      </w:pPr>
      <w:r>
        <w:rPr>
          <w:rFonts w:eastAsia="Times New Roman" w:cs="Times New Roman"/>
          <w:b/>
          <w:bCs/>
          <w:color w:val="000000"/>
          <w:sz w:val="18"/>
          <w:szCs w:val="18"/>
          <w:lang w:eastAsia="el-GR"/>
        </w:rPr>
      </w:r>
    </w:p>
    <w:p>
      <w:pPr>
        <w:pStyle w:val="Normal"/>
        <w:spacing w:lineRule="auto" w:line="240" w:before="0" w:after="0"/>
        <w:ind w:left="-142" w:right="89" w:hanging="0"/>
        <w:jc w:val="both"/>
        <w:rPr>
          <w:rFonts w:eastAsia="Times New Roman" w:cs="Times New Roman"/>
          <w:bCs/>
          <w:color w:val="000000"/>
          <w:sz w:val="18"/>
          <w:szCs w:val="18"/>
          <w:lang w:eastAsia="el-GR"/>
        </w:rPr>
      </w:pPr>
      <w:r>
        <w:rPr>
          <w:rFonts w:eastAsia="Times New Roman" w:cs="Times New Roman"/>
          <w:b/>
          <w:bCs/>
          <w:color w:val="000000"/>
          <w:sz w:val="18"/>
          <w:szCs w:val="18"/>
          <w:lang w:eastAsia="el-GR"/>
        </w:rPr>
        <w:t>Note:</w:t>
      </w:r>
      <w:r>
        <w:rPr>
          <w:rFonts w:eastAsia="Times New Roman" w:cs="Times New Roman"/>
          <w:bCs/>
          <w:color w:val="000000"/>
          <w:sz w:val="18"/>
          <w:szCs w:val="18"/>
          <w:lang w:eastAsia="el-GR"/>
        </w:rPr>
        <w:t xml:space="preserve"> Each entry represents the percentage change in the corresponding variable described in the row header. The top two rows show the percentage change in illegal immigrants and in the policy parameter </w:t>
      </w:r>
      <w:r>
        <w:rPr>
          <w:rFonts w:eastAsia="Times New Roman" w:cs="Times New Roman" w:ascii="Symbol" w:hAnsi="Symbol"/>
          <w:bCs/>
          <w:color w:val="000000"/>
          <w:sz w:val="18"/>
          <w:szCs w:val="18"/>
          <w:lang w:eastAsia="el-GR"/>
        </w:rPr>
        <w:t></w:t>
      </w:r>
      <w:r>
        <w:rPr>
          <w:rFonts w:eastAsia="Times New Roman" w:cs="Times New Roman" w:ascii="Symbol" w:hAnsi="Symbol"/>
          <w:bCs/>
          <w:color w:val="000000"/>
          <w:sz w:val="18"/>
          <w:szCs w:val="18"/>
          <w:vertAlign w:val="subscript"/>
          <w:lang w:eastAsia="el-GR"/>
        </w:rPr>
        <w:t></w:t>
      </w:r>
      <w:r>
        <w:rPr>
          <w:rFonts w:eastAsia="Times New Roman" w:cs="Times New Roman"/>
          <w:bCs/>
          <w:color w:val="000000"/>
          <w:sz w:val="18"/>
          <w:szCs w:val="18"/>
          <w:lang w:eastAsia="el-GR"/>
        </w:rPr>
        <w:t>. The next three rows show the labor market outcomes for unskilled natives, the following three rows show the labor market outcomes for skilled natives and the last two rows show income per native. The columns correspond to different robustness checks. Columns (1) and (2) represent the case with lower elasticity of substitution skilled-unskilled. Columns (3) and (4) represent the case with higher elasticity of substitution skilled-unskilled. Columns (5) and (6) show the case with higher elasticity of the matching function. Columns (7) and (8) show the case with lower elasticity of the matching function. Columns (9) and (10) show the case with larger separation rate in country 2 (Mexico). Columns (11) and (12) show the case with smaller bargaining power of workers. The remaining parameters are as in Table 1.</w:t>
      </w:r>
    </w:p>
    <w:p>
      <w:pPr>
        <w:pStyle w:val="Normal"/>
        <w:rPr>
          <w:b/>
          <w:lang w:val="en-GB"/>
        </w:rPr>
      </w:pPr>
      <w:r>
        <w:rPr>
          <w:b/>
          <w:lang w:val="en-GB"/>
        </w:rPr>
      </w:r>
    </w:p>
    <w:p>
      <w:pPr>
        <w:pStyle w:val="Normal"/>
        <w:rPr>
          <w:b/>
          <w:lang w:val="en-GB"/>
        </w:rPr>
      </w:pPr>
      <w:r>
        <w:rPr>
          <w:b/>
          <w:lang w:val="en-GB"/>
        </w:rPr>
      </w:r>
    </w:p>
    <w:p>
      <w:pPr>
        <w:pStyle w:val="Normal"/>
        <w:rPr>
          <w:b/>
          <w:lang w:val="en-GB"/>
        </w:rPr>
      </w:pPr>
      <w:r>
        <w:rPr>
          <w:b/>
          <w:lang w:val="en-GB"/>
        </w:rPr>
      </w:r>
    </w:p>
    <w:p>
      <w:pPr>
        <w:pStyle w:val="Normal"/>
        <w:jc w:val="center"/>
        <w:rPr>
          <w:rFonts w:eastAsia="Times New Roman" w:cs="Times New Roman"/>
          <w:b/>
          <w:bCs/>
          <w:color w:val="000000"/>
          <w:sz w:val="24"/>
          <w:szCs w:val="24"/>
          <w:lang w:val="en-GB" w:eastAsia="el-GR"/>
        </w:rPr>
      </w:pPr>
      <w:r>
        <w:rPr>
          <w:rFonts w:eastAsia="Times New Roman" w:cs="Times New Roman"/>
          <w:b/>
          <w:bCs/>
          <w:color w:val="000000"/>
          <w:sz w:val="24"/>
          <w:szCs w:val="24"/>
          <w:lang w:val="en-GB" w:eastAsia="el-GR"/>
        </w:rPr>
        <w:t>Table A3: Higher Search Cost: Additional Robustness Checks</w:t>
      </w:r>
    </w:p>
    <w:tbl>
      <w:tblPr>
        <w:jc w:val="left"/>
        <w:tblInd w:w="108" w:type="dxa"/>
        <w:tblBorders>
          <w:top w:val="single" w:sz="4" w:space="0" w:color="00000A"/>
          <w:left w:val="single" w:sz="4" w:space="0" w:color="00000A"/>
          <w:bottom w:val="dotted" w:sz="4" w:space="0" w:color="00000A"/>
          <w:insideH w:val="dotted" w:sz="4" w:space="0" w:color="00000A"/>
          <w:right w:val="double" w:sz="4" w:space="0" w:color="00000A"/>
          <w:insideV w:val="double" w:sz="4" w:space="0" w:color="00000A"/>
        </w:tblBorders>
        <w:tblCellMar>
          <w:top w:w="0" w:type="dxa"/>
          <w:left w:w="103" w:type="dxa"/>
          <w:bottom w:w="0" w:type="dxa"/>
          <w:right w:w="108" w:type="dxa"/>
        </w:tblCellMar>
      </w:tblPr>
      <w:tblGrid>
        <w:gridCol w:w="4157"/>
        <w:gridCol w:w="900"/>
        <w:gridCol w:w="900"/>
        <w:gridCol w:w="900"/>
        <w:gridCol w:w="851"/>
        <w:gridCol w:w="851"/>
        <w:gridCol w:w="850"/>
        <w:gridCol w:w="851"/>
        <w:gridCol w:w="851"/>
        <w:gridCol w:w="851"/>
        <w:gridCol w:w="850"/>
        <w:gridCol w:w="851"/>
        <w:gridCol w:w="853"/>
      </w:tblGrid>
      <w:tr>
        <w:trPr>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vAlign w:val="bottom"/>
          </w:tcPr>
          <w:p>
            <w:pPr>
              <w:pStyle w:val="Normal"/>
              <w:spacing w:lineRule="auto" w:line="240" w:before="0" w:after="0"/>
              <w:rPr>
                <w:rFonts w:eastAsia="Calibri" w:cs="Times New Roman"/>
                <w:color w:val="000000"/>
                <w:lang w:eastAsia="el-GR"/>
              </w:rPr>
            </w:pPr>
            <w:r>
              <w:rPr>
                <w:rFonts w:eastAsia="Calibri" w:cs="Times New Roman"/>
                <w:color w:val="000000"/>
                <w:lang w:eastAsia="el-GR"/>
              </w:rPr>
            </w:r>
          </w:p>
        </w:tc>
        <w:tc>
          <w:tcPr>
            <w:tcW w:w="1800" w:type="dxa"/>
            <w:gridSpan w:val="2"/>
            <w:tcBorders>
              <w:top w:val="single" w:sz="4" w:space="0" w:color="00000A"/>
              <w:left w:val="double" w:sz="4" w:space="0" w:color="00000A"/>
              <w:bottom w:val="single" w:sz="4" w:space="0" w:color="00000A"/>
              <w:insideH w:val="single" w:sz="4" w:space="0" w:color="00000A"/>
              <w:right w:val="double" w:sz="4" w:space="0" w:color="00000A"/>
              <w:insideV w:val="doub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0.6</w:t>
            </w:r>
          </w:p>
        </w:tc>
        <w:tc>
          <w:tcPr>
            <w:tcW w:w="175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0.33</w:t>
            </w:r>
          </w:p>
        </w:tc>
        <w:tc>
          <w:tcPr>
            <w:tcW w:w="170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0.8</w:t>
            </w:r>
          </w:p>
        </w:tc>
        <w:tc>
          <w:tcPr>
            <w:tcW w:w="1702"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0.2</w:t>
            </w:r>
          </w:p>
        </w:tc>
        <w:tc>
          <w:tcPr>
            <w:tcW w:w="1701"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Larger country 2 separation rate  </w:t>
            </w:r>
            <w:r>
              <w:rPr>
                <w:rFonts w:eastAsia="Times New Roman" w:cs="Times New Roman"/>
                <w:b/>
                <w:i/>
                <w:color w:val="000000"/>
                <w:lang w:val="en-GB" w:eastAsia="el-GR"/>
              </w:rPr>
            </w:r>
            <m:oMath xmlns:m="http://schemas.openxmlformats.org/officeDocument/2006/math">
              <m:sSub>
                <m:e>
                  <m:r>
                    <w:rPr>
                      <w:rFonts w:ascii="Cambria Math" w:hAnsi="Cambria Math"/>
                    </w:rPr>
                    <m:t xml:space="preserve">σ</m:t>
                  </m:r>
                </m:e>
                <m:sub>
                  <m:r>
                    <w:rPr>
                      <w:rFonts w:ascii="Cambria Math" w:hAnsi="Cambria Math"/>
                    </w:rPr>
                    <m:t xml:space="preserve">2</m:t>
                  </m:r>
                </m:sub>
              </m:sSub>
              <m:r>
                <w:rPr>
                  <w:rFonts w:ascii="Cambria Math" w:hAnsi="Cambria Math"/>
                </w:rPr>
                <m:t xml:space="preserve">=</m:t>
              </m:r>
            </m:oMath>
            <w:r>
              <w:rPr>
                <w:rFonts w:eastAsia="Times New Roman" w:cs="Times New Roman"/>
                <w:b/>
                <w:i/>
                <w:color w:val="000000"/>
                <w:lang w:eastAsia="el-GR"/>
              </w:rPr>
              <w:t>0.05</w:t>
            </w:r>
          </w:p>
        </w:tc>
        <w:tc>
          <w:tcPr>
            <w:tcW w:w="1704" w:type="dxa"/>
            <w:gridSpan w:val="2"/>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Smaller bargaining power </w:t>
            </w:r>
            <w:r>
              <w:rPr>
                <w:rFonts w:eastAsia="Times New Roman" w:cs="Times New Roman"/>
                <w:b/>
                <w:i/>
                <w:color w:val="000000"/>
                <w:lang w:val="en-GB" w:eastAsia="el-GR"/>
              </w:rPr>
            </w:r>
            <m:oMath xmlns:m="http://schemas.openxmlformats.org/officeDocument/2006/math">
              <m:r>
                <w:rPr>
                  <w:rFonts w:ascii="Cambria Math" w:hAnsi="Cambria Math"/>
                </w:rPr>
                <m:t xml:space="preserve">β</m:t>
              </m:r>
              <m:r>
                <w:rPr>
                  <w:rFonts w:ascii="Cambria Math" w:hAnsi="Cambria Math"/>
                </w:rPr>
                <m:t xml:space="preserve">=</m:t>
              </m:r>
            </m:oMath>
            <w:r>
              <w:rPr>
                <w:rFonts w:eastAsia="Times New Roman" w:cs="Times New Roman"/>
                <w:b/>
                <w:i/>
                <w:color w:val="000000"/>
                <w:lang w:eastAsia="el-GR"/>
              </w:rPr>
              <w:t>0.3</w:t>
            </w:r>
          </w:p>
        </w:tc>
      </w:tr>
      <w:tr>
        <w:trPr>
          <w:trHeight w:val="451"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
            <m:oMath xmlns:m="http://schemas.openxmlformats.org/officeDocument/2006/math">
              <m:r>
                <w:rPr>
                  <w:rFonts w:ascii="Cambria Math" w:hAnsi="Cambria Math"/>
                </w:rPr>
                <m:t xml:space="preserve">I</m:t>
              </m:r>
            </m:oMath>
            <w:r>
              <w:rPr>
                <w:rFonts w:eastAsia="Times New Roman" w:cs="Times New Roman"/>
                <w:b/>
                <w:color w:val="000000"/>
                <w:lang w:eastAsia="el-GR"/>
              </w:rPr>
              <w:t>: stock of illegal Immigrants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-10</w:t>
            </w:r>
          </w:p>
        </w:tc>
        <w:tc>
          <w:tcPr>
            <w:tcW w:w="8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r>
      <w:tr>
        <w:trPr>
          <w:trHeight w:val="361" w:hRule="exact"/>
          <w:cantSplit w:val="false"/>
        </w:trPr>
        <w:tc>
          <w:tcPr>
            <w:tcW w:w="4157"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π</m:t>
                  </m:r>
                </m:e>
                <m:sub>
                  <m:r>
                    <w:rPr>
                      <w:rFonts w:ascii="Cambria Math" w:hAnsi="Cambria Math"/>
                    </w:rPr>
                    <m:t xml:space="preserve">I</m:t>
                  </m:r>
                </m:sub>
              </m:sSub>
            </m:oMath>
            <w:r>
              <w:rPr>
                <w:rFonts w:eastAsia="Times New Roman" w:cs="Times New Roman"/>
                <w:b/>
                <w:bCs/>
                <w:color w:val="000000"/>
                <w:lang w:eastAsia="el-GR"/>
              </w:rPr>
              <w:t>: search cost for illegal immigrants</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2.21</w:t>
            </w:r>
          </w:p>
        </w:tc>
        <w:tc>
          <w:tcPr>
            <w:tcW w:w="900"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10.58</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2.35</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11.37</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2.04</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9.83</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2.41</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11.62</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2.25</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10.79</w:t>
            </w:r>
          </w:p>
        </w:tc>
        <w:tc>
          <w:tcPr>
            <w:tcW w:w="851" w:type="dxa"/>
            <w:tcBorders>
              <w:top w:val="single" w:sz="4" w:space="0" w:color="00000A"/>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7.90</w:t>
            </w:r>
          </w:p>
        </w:tc>
        <w:tc>
          <w:tcPr>
            <w:tcW w:w="85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auto" w:val="clear"/>
            <w:tcMar>
              <w:left w:w="103" w:type="dxa"/>
            </w:tcMar>
            <w:vAlign w:val="bottom"/>
          </w:tcPr>
          <w:p>
            <w:pPr>
              <w:pStyle w:val="Normal"/>
              <w:jc w:val="right"/>
              <w:rPr>
                <w:rFonts w:cs="Calibri"/>
                <w:color w:val="000000"/>
              </w:rPr>
            </w:pPr>
            <w:r>
              <w:rPr>
                <w:rFonts w:cs="Calibri"/>
                <w:color w:val="000000"/>
              </w:rPr>
              <w:t>38.98</w:t>
            </w:r>
          </w:p>
        </w:tc>
      </w:tr>
      <w:tr>
        <w:trPr>
          <w:trHeight w:val="381" w:hRule="exact"/>
          <w:cantSplit w:val="false"/>
        </w:trPr>
        <w:tc>
          <w:tcPr>
            <w:tcW w:w="14516" w:type="dxa"/>
            <w:gridSpan w:val="13"/>
            <w:tcBorders>
              <w:top w:val="dotted"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Unskilled market, outcomes for natives, percentage change</w:t>
            </w:r>
          </w:p>
        </w:tc>
      </w:tr>
      <w:tr>
        <w:trPr>
          <w:trHeight w:val="381" w:hRule="exact"/>
          <w:cantSplit w:val="false"/>
        </w:trPr>
        <w:tc>
          <w:tcPr>
            <w:tcW w:w="4157"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u</m:t>
                  </m:r>
                </m:sup>
              </m:sSubSup>
            </m:oMath>
            <w:r>
              <w:rPr>
                <w:rFonts w:eastAsia="Times New Roman" w:cs="Times New Roman"/>
                <w:b/>
                <w:bCs/>
                <w:color w:val="000000"/>
                <w:lang w:val="en-GB" w:eastAsia="el-GR"/>
              </w:rPr>
              <w:t>:  market tightness</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-0.50</w:t>
            </w:r>
          </w:p>
        </w:tc>
        <w:tc>
          <w:tcPr>
            <w:tcW w:w="900"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-2.98</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-0.29</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-1.90</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-0.51</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-3.03</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-0.35</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-2.22</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-0.42</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-2.56</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0.20</w:t>
            </w:r>
          </w:p>
        </w:tc>
        <w:tc>
          <w:tcPr>
            <w:tcW w:w="853" w:type="dxa"/>
            <w:tcBorders>
              <w:top w:val="dotted" w:sz="4" w:space="0" w:color="00000A"/>
              <w:left w:val="nil"/>
              <w:bottom w:val="single" w:sz="4" w:space="0" w:color="00000A"/>
              <w:insideH w:val="single"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0.27</w:t>
            </w:r>
          </w:p>
        </w:tc>
      </w:tr>
      <w:tr>
        <w:trPr>
          <w:trHeight w:val="42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unemployment rate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0.18</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1.11</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1.81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0.05</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0.33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0.15</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0.95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-0.07</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-0.10</w:t>
            </w:r>
          </w:p>
        </w:tc>
      </w:tr>
      <w:tr>
        <w:trPr>
          <w:trHeight w:val="352"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wage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0.09</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0.44</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0.59</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0.09</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0.43</w:t>
            </w:r>
          </w:p>
        </w:tc>
      </w:tr>
      <w:tr>
        <w:trPr>
          <w:trHeight w:val="361"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Skilled market, outcomes for natives, percentage change</w:t>
            </w:r>
          </w:p>
        </w:tc>
      </w:tr>
      <w:tr>
        <w:trPr>
          <w:trHeight w:val="361"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s</m:t>
                  </m:r>
                </m:sup>
              </m:sSubSup>
            </m:oMath>
            <w:r>
              <w:rPr>
                <w:rFonts w:eastAsia="Times New Roman" w:cs="Times New Roman"/>
                <w:b/>
                <w:bCs/>
                <w:color w:val="000000"/>
                <w:lang w:val="en-GB" w:eastAsia="el-GR"/>
              </w:rPr>
              <w:t>:  market tightness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-0.20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-1.05</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-1.58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-1.60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-1.03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-0.24</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-1.26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-0.19</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-1.03</w:t>
            </w:r>
          </w:p>
        </w:tc>
      </w:tr>
      <w:tr>
        <w:trPr>
          <w:trHeight w:val="361"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oMath>
            <w:r>
              <w:rPr>
                <w:rFonts w:eastAsia="Times New Roman" w:cs="Times New Roman"/>
                <w:b/>
                <w:bCs/>
                <w:color w:val="000000"/>
                <w:lang w:eastAsia="el-GR"/>
              </w:rPr>
              <w:t>: u</w:t>
            </w:r>
            <w:r>
              <w:rPr>
                <w:rFonts w:eastAsia="Calibri" w:cs="Times New Roman"/>
                <w:b/>
                <w:bCs/>
                <w:color w:val="000000"/>
                <w:lang w:eastAsia="el-GR"/>
              </w:rPr>
              <w:t>nemployment rate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0.09</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0.46</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0.69</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0.08</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0.45</w:t>
            </w:r>
          </w:p>
        </w:tc>
      </w:tr>
      <w:tr>
        <w:trPr>
          <w:trHeight w:val="361"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r>
                <w:rPr>
                  <w:rFonts w:ascii="Cambria Math" w:hAnsi="Cambria Math"/>
                </w:rPr>
                <m:t xml:space="preserve">:</m:t>
              </m:r>
            </m:oMath>
            <w:r>
              <w:rPr>
                <w:rFonts w:eastAsia="Times New Roman" w:cs="Times New Roman"/>
                <w:b/>
                <w:bCs/>
                <w:color w:val="000000"/>
                <w:lang w:eastAsia="el-GR"/>
              </w:rPr>
              <w:t>w</w:t>
            </w:r>
            <w:r>
              <w:rPr>
                <w:rFonts w:eastAsia="Calibri" w:cs="Times New Roman"/>
                <w:b/>
                <w:bCs/>
                <w:color w:val="000000"/>
                <w:lang w:eastAsia="el-GR"/>
              </w:rPr>
              <w:t>age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-0.05</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-0.28</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-0.08</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-0.08</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-0.06</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-0.29</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-0.07</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-0.34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-0.05</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-0.28</w:t>
            </w:r>
          </w:p>
        </w:tc>
      </w:tr>
      <w:tr>
        <w:trPr>
          <w:trHeight w:val="361"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tabs>
                <w:tab w:val="left" w:pos="8700" w:leader="none"/>
              </w:tabs>
              <w:jc w:val="center"/>
              <w:rPr>
                <w:b/>
                <w:color w:val="000000"/>
              </w:rPr>
            </w:pPr>
            <w:r>
              <w:rPr>
                <w:b/>
                <w:color w:val="000000"/>
              </w:rPr>
              <w:t>Native income per person, percentage change</w:t>
            </w:r>
          </w:p>
        </w:tc>
      </w:tr>
      <w:tr>
        <w:trPr>
          <w:trHeight w:val="361"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it-IT"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sub>
              </m:sSub>
            </m:oMath>
            <w:r>
              <w:rPr>
                <w:rFonts w:eastAsia="Times New Roman" w:cs="Times New Roman"/>
                <w:b/>
                <w:bCs/>
                <w:color w:val="000000"/>
                <w:lang w:val="it-IT" w:eastAsia="el-GR"/>
              </w:rPr>
              <w:t xml:space="preserve">: </w:t>
            </w:r>
            <w:r>
              <w:rPr>
                <w:rFonts w:eastAsia="Times New Roman" w:cs="Times New Roman"/>
                <w:b/>
                <w:bCs/>
                <w:color w:val="000000"/>
                <w:lang w:val="it-IT" w:eastAsia="el-GR"/>
              </w:rPr>
              <w:t>income per native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-0.02</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-0.11</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-0.02</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-0.19</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-0.01</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-0.07</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-0.02</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-0.01</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-0.08</w:t>
            </w:r>
          </w:p>
        </w:tc>
      </w:tr>
      <w:tr>
        <w:trPr>
          <w:trHeight w:val="567" w:hRule="exact"/>
          <w:cantSplit w:val="false"/>
        </w:trPr>
        <w:tc>
          <w:tcPr>
            <w:tcW w:w="4157" w:type="dxa"/>
            <w:tcBorders>
              <w:top w:val="nil"/>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r>
                    <w:rPr>
                      <w:rFonts w:ascii="Cambria Math" w:hAnsi="Cambria Math"/>
                    </w:rPr>
                    <m:t xml:space="preserve">a</m:t>
                  </m:r>
                </m:sub>
              </m:sSub>
            </m:oMath>
            <w:r>
              <w:rPr>
                <w:rFonts w:eastAsia="Times New Roman" w:cs="Times New Roman"/>
                <w:b/>
                <w:bCs/>
                <w:color w:val="000000"/>
                <w:lang w:eastAsia="el-GR"/>
              </w:rPr>
              <w:t xml:space="preserve">: </w:t>
            </w:r>
            <w:r>
              <w:rPr>
                <w:rFonts w:eastAsia="Times New Roman" w:cs="Times New Roman"/>
                <w:b/>
                <w:bCs/>
                <w:color w:val="000000"/>
                <w:lang w:eastAsia="el-GR"/>
              </w:rPr>
              <w:t>income per native net of unemployment benefits</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-0.04</w:t>
            </w:r>
          </w:p>
        </w:tc>
        <w:tc>
          <w:tcPr>
            <w:tcW w:w="900" w:type="dxa"/>
            <w:tcBorders>
              <w:top w:val="nil"/>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-0.25</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-0.04</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-0.24</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-0.08</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-0.44</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-0.02</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-0.12</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-0.04</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-0.25</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-0.01</w:t>
            </w:r>
          </w:p>
        </w:tc>
        <w:tc>
          <w:tcPr>
            <w:tcW w:w="853" w:type="dxa"/>
            <w:tcBorders>
              <w:top w:val="nil"/>
              <w:left w:val="nil"/>
              <w:bottom w:val="single" w:sz="4" w:space="0" w:color="00000A"/>
              <w:insideH w:val="single"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-0.11</w:t>
            </w:r>
          </w:p>
        </w:tc>
      </w:tr>
    </w:tbl>
    <w:p>
      <w:pPr>
        <w:pStyle w:val="Normal"/>
        <w:spacing w:lineRule="auto" w:line="240" w:before="0" w:after="0"/>
        <w:ind w:left="0" w:right="89" w:hanging="0"/>
        <w:jc w:val="both"/>
        <w:rPr>
          <w:rFonts w:eastAsia="Times New Roman" w:cs="Times New Roman"/>
          <w:b/>
          <w:bCs/>
          <w:color w:val="000000"/>
          <w:sz w:val="18"/>
          <w:szCs w:val="18"/>
          <w:lang w:eastAsia="el-GR"/>
        </w:rPr>
      </w:pPr>
      <w:r>
        <w:rPr>
          <w:rFonts w:eastAsia="Times New Roman" w:cs="Times New Roman"/>
          <w:b/>
          <w:bCs/>
          <w:color w:val="000000"/>
          <w:sz w:val="18"/>
          <w:szCs w:val="18"/>
          <w:lang w:eastAsia="el-GR"/>
        </w:rPr>
      </w:r>
    </w:p>
    <w:p>
      <w:pPr>
        <w:pStyle w:val="Normal"/>
        <w:spacing w:lineRule="auto" w:line="240" w:before="0" w:after="0"/>
        <w:ind w:left="0" w:right="89" w:hanging="0"/>
        <w:jc w:val="both"/>
        <w:rPr>
          <w:rFonts w:eastAsia="Times New Roman" w:cs="Times New Roman"/>
          <w:b/>
          <w:bCs/>
          <w:color w:val="000000"/>
          <w:sz w:val="18"/>
          <w:szCs w:val="18"/>
          <w:lang w:eastAsia="el-GR"/>
        </w:rPr>
      </w:pPr>
      <w:r>
        <w:rPr>
          <w:rFonts w:eastAsia="Times New Roman" w:cs="Times New Roman"/>
          <w:b/>
          <w:bCs/>
          <w:color w:val="000000"/>
          <w:sz w:val="18"/>
          <w:szCs w:val="18"/>
          <w:lang w:eastAsia="el-GR"/>
        </w:rPr>
      </w:r>
    </w:p>
    <w:p>
      <w:pPr>
        <w:pStyle w:val="Normal"/>
        <w:spacing w:lineRule="auto" w:line="240" w:before="0" w:after="0"/>
        <w:ind w:left="-142" w:right="89" w:hanging="0"/>
        <w:jc w:val="both"/>
        <w:rPr>
          <w:rFonts w:eastAsia="Times New Roman" w:cs="Times New Roman"/>
          <w:bCs/>
          <w:color w:val="000000"/>
          <w:sz w:val="18"/>
          <w:szCs w:val="18"/>
          <w:lang w:eastAsia="el-GR"/>
        </w:rPr>
      </w:pPr>
      <w:r>
        <w:rPr>
          <w:rFonts w:eastAsia="Times New Roman" w:cs="Times New Roman"/>
          <w:b/>
          <w:bCs/>
          <w:color w:val="000000"/>
          <w:sz w:val="18"/>
          <w:szCs w:val="18"/>
          <w:lang w:eastAsia="el-GR"/>
        </w:rPr>
        <w:t>Note:</w:t>
      </w:r>
      <w:r>
        <w:rPr>
          <w:rFonts w:eastAsia="Times New Roman" w:cs="Times New Roman"/>
          <w:bCs/>
          <w:color w:val="000000"/>
          <w:sz w:val="18"/>
          <w:szCs w:val="18"/>
          <w:lang w:eastAsia="el-GR"/>
        </w:rPr>
        <w:t xml:space="preserve"> Each entry represents the percentage change in the corresponding variable described in the row header. The top two rows show the percentage change in illegal immigrants and in the policy parameter </w:t>
      </w:r>
      <w:r>
        <w:rPr>
          <w:rFonts w:eastAsia="Times New Roman" w:cs="Times New Roman" w:ascii="Symbol" w:hAnsi="Symbol"/>
          <w:bCs/>
          <w:color w:val="000000"/>
          <w:sz w:val="18"/>
          <w:szCs w:val="18"/>
          <w:lang w:eastAsia="el-GR"/>
        </w:rPr>
        <w:t></w:t>
      </w:r>
      <w:r>
        <w:rPr>
          <w:rFonts w:eastAsia="Times New Roman" w:cs="Times New Roman" w:ascii="Symbol" w:hAnsi="Symbol"/>
          <w:bCs/>
          <w:color w:val="000000"/>
          <w:sz w:val="18"/>
          <w:szCs w:val="18"/>
          <w:vertAlign w:val="subscript"/>
          <w:lang w:eastAsia="el-GR"/>
        </w:rPr>
        <w:t></w:t>
      </w:r>
      <w:r>
        <w:rPr>
          <w:rFonts w:eastAsia="Times New Roman" w:cs="Times New Roman"/>
          <w:bCs/>
          <w:color w:val="000000"/>
          <w:sz w:val="18"/>
          <w:szCs w:val="18"/>
          <w:lang w:eastAsia="el-GR"/>
        </w:rPr>
        <w:t>. The next three rows show the labor market outcomes for unskilled natives, the following three rows show the labor market outcomes for skilled natives and the last two rows show income per native. The columns correspond to different robustness checks. Columns (1) and (2) represent the case with lower elasticity of substitution skilled-unskilled. Columns (3) and (4) represent the case with higher elasticity of substitution skilled-unskilled. Columns (5) and (6) show the case with higher elasticity of the matching function. Columns (7) and (8) show the case with lower elasticity of the matching function. Columns (9) and (10) show the case with larger separation rate in country 2 (Mexico). Columns (11) and (12) show the case with smaller bargaining power of workers. The remaining parameters are as in Table 1.</w:t>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jc w:val="center"/>
        <w:rPr>
          <w:rFonts w:eastAsia="Times New Roman" w:cs="Times New Roman"/>
          <w:b/>
          <w:bCs/>
          <w:color w:val="000000"/>
          <w:sz w:val="24"/>
          <w:szCs w:val="24"/>
          <w:lang w:val="en-GB" w:eastAsia="el-GR"/>
        </w:rPr>
      </w:pPr>
      <w:r>
        <w:rPr>
          <w:rFonts w:eastAsia="Times New Roman" w:cs="Times New Roman"/>
          <w:b/>
          <w:bCs/>
          <w:color w:val="000000"/>
          <w:sz w:val="24"/>
          <w:szCs w:val="24"/>
          <w:lang w:val="en-GB" w:eastAsia="el-GR"/>
        </w:rPr>
        <w:t>Table A4: Higher Deportation rates: Additional Robustness Checks</w:t>
      </w:r>
    </w:p>
    <w:tbl>
      <w:tblPr>
        <w:jc w:val="left"/>
        <w:tblInd w:w="108" w:type="dxa"/>
        <w:tblBorders>
          <w:top w:val="single" w:sz="4" w:space="0" w:color="00000A"/>
          <w:left w:val="single" w:sz="4" w:space="0" w:color="00000A"/>
          <w:bottom w:val="dotted" w:sz="4" w:space="0" w:color="00000A"/>
          <w:insideH w:val="dotted" w:sz="4" w:space="0" w:color="00000A"/>
          <w:right w:val="double" w:sz="4" w:space="0" w:color="00000A"/>
          <w:insideV w:val="double" w:sz="4" w:space="0" w:color="00000A"/>
        </w:tblBorders>
        <w:tblCellMar>
          <w:top w:w="0" w:type="dxa"/>
          <w:left w:w="103" w:type="dxa"/>
          <w:bottom w:w="0" w:type="dxa"/>
          <w:right w:w="108" w:type="dxa"/>
        </w:tblCellMar>
      </w:tblPr>
      <w:tblGrid>
        <w:gridCol w:w="4157"/>
        <w:gridCol w:w="900"/>
        <w:gridCol w:w="900"/>
        <w:gridCol w:w="900"/>
        <w:gridCol w:w="851"/>
        <w:gridCol w:w="851"/>
        <w:gridCol w:w="850"/>
        <w:gridCol w:w="851"/>
        <w:gridCol w:w="851"/>
        <w:gridCol w:w="851"/>
        <w:gridCol w:w="850"/>
        <w:gridCol w:w="851"/>
        <w:gridCol w:w="853"/>
      </w:tblGrid>
      <w:tr>
        <w:trPr>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vAlign w:val="bottom"/>
          </w:tcPr>
          <w:p>
            <w:pPr>
              <w:pStyle w:val="Normal"/>
              <w:spacing w:lineRule="auto" w:line="240" w:before="0" w:after="0"/>
              <w:rPr>
                <w:rFonts w:eastAsia="Calibri" w:cs="Times New Roman"/>
                <w:color w:val="000000"/>
                <w:lang w:eastAsia="el-GR"/>
              </w:rPr>
            </w:pPr>
            <w:r>
              <w:rPr>
                <w:rFonts w:eastAsia="Calibri" w:cs="Times New Roman"/>
                <w:color w:val="000000"/>
                <w:lang w:eastAsia="el-GR"/>
              </w:rPr>
            </w:r>
          </w:p>
        </w:tc>
        <w:tc>
          <w:tcPr>
            <w:tcW w:w="1800" w:type="dxa"/>
            <w:gridSpan w:val="2"/>
            <w:tcBorders>
              <w:top w:val="single" w:sz="4" w:space="0" w:color="00000A"/>
              <w:left w:val="double" w:sz="4" w:space="0" w:color="00000A"/>
              <w:bottom w:val="single" w:sz="4" w:space="0" w:color="00000A"/>
              <w:insideH w:val="single" w:sz="4" w:space="0" w:color="00000A"/>
              <w:right w:val="double" w:sz="4" w:space="0" w:color="00000A"/>
              <w:insideV w:val="doub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0.6</w:t>
            </w:r>
          </w:p>
        </w:tc>
        <w:tc>
          <w:tcPr>
            <w:tcW w:w="175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0.33</w:t>
            </w:r>
          </w:p>
        </w:tc>
        <w:tc>
          <w:tcPr>
            <w:tcW w:w="170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0.8</w:t>
            </w:r>
          </w:p>
        </w:tc>
        <w:tc>
          <w:tcPr>
            <w:tcW w:w="1702"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0.2</w:t>
            </w:r>
          </w:p>
        </w:tc>
        <w:tc>
          <w:tcPr>
            <w:tcW w:w="1701"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Larger country 2 separation rate  </w:t>
            </w:r>
            <w:r>
              <w:rPr>
                <w:rFonts w:eastAsia="Times New Roman" w:cs="Times New Roman"/>
                <w:b/>
                <w:i/>
                <w:color w:val="000000"/>
                <w:lang w:val="en-GB" w:eastAsia="el-GR"/>
              </w:rPr>
            </w:r>
            <m:oMath xmlns:m="http://schemas.openxmlformats.org/officeDocument/2006/math">
              <m:sSub>
                <m:e>
                  <m:r>
                    <w:rPr>
                      <w:rFonts w:ascii="Cambria Math" w:hAnsi="Cambria Math"/>
                    </w:rPr>
                    <m:t xml:space="preserve">σ</m:t>
                  </m:r>
                </m:e>
                <m:sub>
                  <m:r>
                    <w:rPr>
                      <w:rFonts w:ascii="Cambria Math" w:hAnsi="Cambria Math"/>
                    </w:rPr>
                    <m:t xml:space="preserve">2</m:t>
                  </m:r>
                </m:sub>
              </m:sSub>
              <m:r>
                <w:rPr>
                  <w:rFonts w:ascii="Cambria Math" w:hAnsi="Cambria Math"/>
                </w:rPr>
                <m:t xml:space="preserve">=</m:t>
              </m:r>
            </m:oMath>
            <w:r>
              <w:rPr>
                <w:rFonts w:eastAsia="Times New Roman" w:cs="Times New Roman"/>
                <w:b/>
                <w:i/>
                <w:color w:val="000000"/>
                <w:lang w:eastAsia="el-GR"/>
              </w:rPr>
              <w:t>0.05</w:t>
            </w:r>
          </w:p>
        </w:tc>
        <w:tc>
          <w:tcPr>
            <w:tcW w:w="1704" w:type="dxa"/>
            <w:gridSpan w:val="2"/>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Smaller bargaining power </w:t>
            </w:r>
            <w:r>
              <w:rPr>
                <w:rFonts w:eastAsia="Times New Roman" w:cs="Times New Roman"/>
                <w:b/>
                <w:i/>
                <w:color w:val="000000"/>
                <w:lang w:val="en-GB" w:eastAsia="el-GR"/>
              </w:rPr>
            </w:r>
            <m:oMath xmlns:m="http://schemas.openxmlformats.org/officeDocument/2006/math">
              <m:r>
                <w:rPr>
                  <w:rFonts w:ascii="Cambria Math" w:hAnsi="Cambria Math"/>
                </w:rPr>
                <m:t xml:space="preserve">β</m:t>
              </m:r>
              <m:r>
                <w:rPr>
                  <w:rFonts w:ascii="Cambria Math" w:hAnsi="Cambria Math"/>
                </w:rPr>
                <m:t xml:space="preserve">=</m:t>
              </m:r>
            </m:oMath>
            <w:r>
              <w:rPr>
                <w:rFonts w:eastAsia="Times New Roman" w:cs="Times New Roman"/>
                <w:b/>
                <w:i/>
                <w:color w:val="000000"/>
                <w:lang w:eastAsia="el-GR"/>
              </w:rPr>
              <w:t>0.3</w:t>
            </w:r>
          </w:p>
        </w:tc>
      </w:tr>
      <w:tr>
        <w:trPr>
          <w:trHeight w:val="36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
            <m:oMath xmlns:m="http://schemas.openxmlformats.org/officeDocument/2006/math">
              <m:r>
                <w:rPr>
                  <w:rFonts w:ascii="Cambria Math" w:hAnsi="Cambria Math"/>
                </w:rPr>
                <m:t xml:space="preserve">I</m:t>
              </m:r>
            </m:oMath>
            <w:r>
              <w:rPr>
                <w:rFonts w:eastAsia="Times New Roman" w:cs="Times New Roman"/>
                <w:b/>
                <w:color w:val="000000"/>
                <w:lang w:eastAsia="el-GR"/>
              </w:rPr>
              <w:t>: stock of illegal Immigrants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-10</w:t>
            </w:r>
          </w:p>
        </w:tc>
        <w:tc>
          <w:tcPr>
            <w:tcW w:w="8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r>
      <w:tr>
        <w:trPr>
          <w:trHeight w:val="364" w:hRule="exact"/>
          <w:cantSplit w:val="false"/>
        </w:trPr>
        <w:tc>
          <w:tcPr>
            <w:tcW w:w="4157"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r>
                    <w:rPr>
                      <w:rFonts w:ascii="Cambria Math" w:hAnsi="Cambria Math"/>
                    </w:rPr>
                    <m:t xml:space="preserve">d</m:t>
                  </m:r>
                </m:e>
                <m:sub>
                  <m:r>
                    <w:rPr>
                      <w:rFonts w:ascii="Cambria Math" w:hAnsi="Cambria Math"/>
                    </w:rPr>
                    <m:t xml:space="preserve">I</m:t>
                  </m:r>
                </m:sub>
              </m:sSub>
            </m:oMath>
            <w:r>
              <w:rPr>
                <w:rFonts w:eastAsia="Times New Roman" w:cs="Times New Roman"/>
                <w:b/>
                <w:bCs/>
                <w:color w:val="000000"/>
                <w:lang w:eastAsia="el-GR"/>
              </w:rPr>
              <w:t>: return rate for illegal immigrants</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7.20</w:t>
            </w:r>
          </w:p>
        </w:tc>
        <w:tc>
          <w:tcPr>
            <w:tcW w:w="900"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50.66</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7.70</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54.13</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6.67</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47.08</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7.89</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55.44</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7.38</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51.89</w:t>
            </w:r>
          </w:p>
        </w:tc>
        <w:tc>
          <w:tcPr>
            <w:tcW w:w="851" w:type="dxa"/>
            <w:tcBorders>
              <w:top w:val="single" w:sz="4" w:space="0" w:color="00000A"/>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9.02</w:t>
            </w:r>
          </w:p>
        </w:tc>
        <w:tc>
          <w:tcPr>
            <w:tcW w:w="85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auto" w:val="clear"/>
            <w:tcMar>
              <w:left w:w="103" w:type="dxa"/>
            </w:tcMar>
            <w:vAlign w:val="bottom"/>
          </w:tcPr>
          <w:p>
            <w:pPr>
              <w:pStyle w:val="Normal"/>
              <w:jc w:val="right"/>
              <w:rPr>
                <w:rFonts w:cs="Calibri"/>
                <w:color w:val="000000"/>
              </w:rPr>
            </w:pPr>
            <w:r>
              <w:rPr>
                <w:rFonts w:cs="Calibri"/>
                <w:color w:val="000000"/>
              </w:rPr>
              <w:t>67.31</w:t>
            </w:r>
          </w:p>
        </w:tc>
      </w:tr>
      <w:tr>
        <w:trPr>
          <w:trHeight w:val="375" w:hRule="exact"/>
          <w:cantSplit w:val="false"/>
        </w:trPr>
        <w:tc>
          <w:tcPr>
            <w:tcW w:w="14516" w:type="dxa"/>
            <w:gridSpan w:val="13"/>
            <w:tcBorders>
              <w:top w:val="dotted"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Unskilled market, outcomes for natives, percentage change</w:t>
            </w:r>
          </w:p>
        </w:tc>
      </w:tr>
      <w:tr>
        <w:trPr>
          <w:trHeight w:val="375" w:hRule="exact"/>
          <w:cantSplit w:val="false"/>
        </w:trPr>
        <w:tc>
          <w:tcPr>
            <w:tcW w:w="4157"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u</m:t>
                  </m:r>
                </m:sup>
              </m:sSubSup>
            </m:oMath>
            <w:r>
              <w:rPr>
                <w:rFonts w:eastAsia="Times New Roman" w:cs="Times New Roman"/>
                <w:b/>
                <w:bCs/>
                <w:color w:val="000000"/>
                <w:lang w:val="en-GB" w:eastAsia="el-GR"/>
              </w:rPr>
              <w:t>:  market tightness</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-0.68</w:t>
            </w:r>
          </w:p>
        </w:tc>
        <w:tc>
          <w:tcPr>
            <w:tcW w:w="900"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-3.46</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-0.46</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-2.37</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-0.69</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-3.50</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-0.53</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-2.70</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-0.59</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-3.03</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-0.14</w:t>
            </w:r>
          </w:p>
        </w:tc>
        <w:tc>
          <w:tcPr>
            <w:tcW w:w="853" w:type="dxa"/>
            <w:tcBorders>
              <w:top w:val="dotted" w:sz="4" w:space="0" w:color="00000A"/>
              <w:left w:val="nil"/>
              <w:bottom w:val="single" w:sz="4" w:space="0" w:color="00000A"/>
              <w:insideH w:val="single"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-0.69</w:t>
            </w:r>
          </w:p>
        </w:tc>
      </w:tr>
      <w:tr>
        <w:trPr>
          <w:trHeight w:val="337"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unemployment rate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0.25</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1.29</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0.17</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0.88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2.10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0.08</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0.22</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0.05</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0.25</w:t>
            </w:r>
          </w:p>
        </w:tc>
      </w:tr>
      <w:tr>
        <w:trPr>
          <w:trHeight w:val="36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wage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0.09</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0.45</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0.15</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0.12</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0.60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0.08</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0.43</w:t>
            </w:r>
          </w:p>
        </w:tc>
      </w:tr>
      <w:tr>
        <w:trPr>
          <w:trHeight w:val="364"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Skilled market, outcomes for natives, percentage change</w:t>
            </w:r>
          </w:p>
        </w:tc>
      </w:tr>
      <w:tr>
        <w:trPr>
          <w:trHeight w:val="36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s</m:t>
                  </m:r>
                </m:sup>
              </m:sSubSup>
            </m:oMath>
            <w:r>
              <w:rPr>
                <w:rFonts w:eastAsia="Times New Roman" w:cs="Times New Roman"/>
                <w:b/>
                <w:bCs/>
                <w:color w:val="000000"/>
                <w:lang w:val="en-GB" w:eastAsia="el-GR"/>
              </w:rPr>
              <w:t>:  market tightness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-0.22</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-1.10</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-1.65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-1.68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-0.21</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-1.06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-0.26</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-1.32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-0.22</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-1.12</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oMath>
            <w:r>
              <w:rPr>
                <w:rFonts w:eastAsia="Times New Roman" w:cs="Times New Roman"/>
                <w:b/>
                <w:bCs/>
                <w:color w:val="000000"/>
                <w:lang w:eastAsia="el-GR"/>
              </w:rPr>
              <w:t>: u</w:t>
            </w:r>
            <w:r>
              <w:rPr>
                <w:rFonts w:eastAsia="Calibri" w:cs="Times New Roman"/>
                <w:b/>
                <w:bCs/>
                <w:color w:val="000000"/>
                <w:lang w:eastAsia="el-GR"/>
              </w:rPr>
              <w:t>nemployment rate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0.48</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0.04</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0.19</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0.58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0.10</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0.49</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r>
                <w:rPr>
                  <w:rFonts w:ascii="Cambria Math" w:hAnsi="Cambria Math"/>
                </w:rPr>
                <m:t xml:space="preserve">:</m:t>
              </m:r>
            </m:oMath>
            <w:r>
              <w:rPr>
                <w:rFonts w:eastAsia="Times New Roman" w:cs="Times New Roman"/>
                <w:b/>
                <w:bCs/>
                <w:color w:val="000000"/>
                <w:lang w:eastAsia="el-GR"/>
              </w:rPr>
              <w:t>w</w:t>
            </w:r>
            <w:r>
              <w:rPr>
                <w:rFonts w:eastAsia="Calibri" w:cs="Times New Roman"/>
                <w:b/>
                <w:bCs/>
                <w:color w:val="000000"/>
                <w:lang w:eastAsia="el-GR"/>
              </w:rPr>
              <w:t>age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-0.06</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-0.30</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-0.09</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-0.08</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-0.06</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-0.30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-0.07</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-0.35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-0.06</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-0.30</w:t>
            </w:r>
          </w:p>
        </w:tc>
      </w:tr>
      <w:tr>
        <w:trPr>
          <w:trHeight w:val="355"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Native income per person, percentage change</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it-IT"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sub>
              </m:sSub>
            </m:oMath>
            <w:r>
              <w:rPr>
                <w:rFonts w:eastAsia="Times New Roman" w:cs="Times New Roman"/>
                <w:b/>
                <w:bCs/>
                <w:color w:val="000000"/>
                <w:lang w:val="it-IT" w:eastAsia="el-GR"/>
              </w:rPr>
              <w:t xml:space="preserve">: </w:t>
            </w:r>
            <w:r>
              <w:rPr>
                <w:rFonts w:eastAsia="Times New Roman" w:cs="Times New Roman"/>
                <w:b/>
                <w:bCs/>
                <w:color w:val="000000"/>
                <w:lang w:val="it-IT" w:eastAsia="el-GR"/>
              </w:rPr>
              <w:t>income per native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-0.02</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-0.13</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-0.04</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-0.01</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-0.07</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-0.02</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-0.11</w:t>
            </w:r>
          </w:p>
        </w:tc>
      </w:tr>
      <w:tr>
        <w:trPr>
          <w:trHeight w:val="567" w:hRule="exact"/>
          <w:cantSplit w:val="false"/>
        </w:trPr>
        <w:tc>
          <w:tcPr>
            <w:tcW w:w="4157" w:type="dxa"/>
            <w:tcBorders>
              <w:top w:val="nil"/>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r>
                    <w:rPr>
                      <w:rFonts w:ascii="Cambria Math" w:hAnsi="Cambria Math"/>
                    </w:rPr>
                    <m:t xml:space="preserve">a</m:t>
                  </m:r>
                </m:sub>
              </m:sSub>
            </m:oMath>
            <w:r>
              <w:rPr>
                <w:rFonts w:eastAsia="Times New Roman" w:cs="Times New Roman"/>
                <w:b/>
                <w:bCs/>
                <w:color w:val="000000"/>
                <w:lang w:eastAsia="el-GR"/>
              </w:rPr>
              <w:t xml:space="preserve">: </w:t>
            </w:r>
            <w:r>
              <w:rPr>
                <w:rFonts w:eastAsia="Times New Roman" w:cs="Times New Roman"/>
                <w:b/>
                <w:bCs/>
                <w:color w:val="000000"/>
                <w:lang w:eastAsia="el-GR"/>
              </w:rPr>
              <w:t>income per native net of unemployment benefits</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-0.05</w:t>
            </w:r>
          </w:p>
        </w:tc>
        <w:tc>
          <w:tcPr>
            <w:tcW w:w="900" w:type="dxa"/>
            <w:tcBorders>
              <w:top w:val="nil"/>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-0.28</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-0.05</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-0.27</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-0.09</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-0.49</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-0.13</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-0.05</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-0.28</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-0.04</w:t>
            </w:r>
          </w:p>
        </w:tc>
        <w:tc>
          <w:tcPr>
            <w:tcW w:w="853" w:type="dxa"/>
            <w:tcBorders>
              <w:top w:val="nil"/>
              <w:left w:val="nil"/>
              <w:bottom w:val="single" w:sz="4" w:space="0" w:color="00000A"/>
              <w:insideH w:val="single"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-0.18</w:t>
            </w:r>
          </w:p>
        </w:tc>
      </w:tr>
    </w:tbl>
    <w:p>
      <w:pPr>
        <w:pStyle w:val="Normal"/>
        <w:spacing w:lineRule="auto" w:line="240" w:before="0" w:after="0"/>
        <w:ind w:left="0" w:right="89" w:hanging="0"/>
        <w:jc w:val="both"/>
        <w:rPr>
          <w:rFonts w:eastAsia="Times New Roman" w:cs="Times New Roman"/>
          <w:b/>
          <w:bCs/>
          <w:color w:val="000000"/>
          <w:sz w:val="18"/>
          <w:szCs w:val="18"/>
          <w:lang w:eastAsia="el-GR"/>
        </w:rPr>
      </w:pPr>
      <w:r>
        <w:rPr>
          <w:rFonts w:eastAsia="Times New Roman" w:cs="Times New Roman"/>
          <w:b/>
          <w:bCs/>
          <w:color w:val="000000"/>
          <w:sz w:val="18"/>
          <w:szCs w:val="18"/>
          <w:lang w:eastAsia="el-GR"/>
        </w:rPr>
      </w:r>
    </w:p>
    <w:p>
      <w:pPr>
        <w:pStyle w:val="Normal"/>
        <w:spacing w:lineRule="auto" w:line="240" w:before="0" w:after="0"/>
        <w:ind w:left="-142" w:right="89" w:hanging="0"/>
        <w:jc w:val="both"/>
        <w:rPr>
          <w:rFonts w:eastAsia="Times New Roman" w:cs="Times New Roman"/>
          <w:bCs/>
          <w:color w:val="000000"/>
          <w:sz w:val="18"/>
          <w:szCs w:val="18"/>
          <w:lang w:eastAsia="el-GR"/>
        </w:rPr>
      </w:pPr>
      <w:r>
        <w:rPr>
          <w:rFonts w:eastAsia="Times New Roman" w:cs="Times New Roman"/>
          <w:b/>
          <w:bCs/>
          <w:color w:val="000000"/>
          <w:sz w:val="18"/>
          <w:szCs w:val="18"/>
          <w:lang w:eastAsia="el-GR"/>
        </w:rPr>
        <w:t>Note:</w:t>
      </w:r>
      <w:r>
        <w:rPr>
          <w:rFonts w:eastAsia="Times New Roman" w:cs="Times New Roman"/>
          <w:bCs/>
          <w:color w:val="000000"/>
          <w:sz w:val="18"/>
          <w:szCs w:val="18"/>
          <w:lang w:eastAsia="el-GR"/>
        </w:rPr>
        <w:t xml:space="preserve"> Each entry represents the percentage change in the corresponding variable described in the row header. The top two rows show the percentage change in illegal immigrants and in the policy parameter </w:t>
      </w:r>
      <w:r>
        <w:rPr>
          <w:rFonts w:eastAsia="Times New Roman" w:cs="Times New Roman" w:ascii="Cambria" w:hAnsi="Cambria"/>
          <w:bCs/>
          <w:color w:val="000000"/>
          <w:sz w:val="18"/>
          <w:szCs w:val="18"/>
          <w:lang w:eastAsia="el-GR"/>
        </w:rPr>
        <w:t>d</w:t>
      </w:r>
      <w:r>
        <w:rPr>
          <w:rFonts w:eastAsia="Times New Roman" w:cs="Times New Roman" w:ascii="Symbol" w:hAnsi="Symbol"/>
          <w:bCs/>
          <w:color w:val="000000"/>
          <w:sz w:val="18"/>
          <w:szCs w:val="18"/>
          <w:vertAlign w:val="subscript"/>
          <w:lang w:eastAsia="el-GR"/>
        </w:rPr>
        <w:t></w:t>
      </w:r>
      <w:r>
        <w:rPr>
          <w:rFonts w:eastAsia="Times New Roman" w:cs="Times New Roman"/>
          <w:bCs/>
          <w:color w:val="000000"/>
          <w:sz w:val="18"/>
          <w:szCs w:val="18"/>
          <w:lang w:eastAsia="el-GR"/>
        </w:rPr>
        <w:t>. The next three rows show the labor market outcomes for unskilled natives, the following three rows show the labor market outcomes for skilled natives and the last two rows show income per native. The columns correspond to different robustness checks. Columns (1) and (2) represent the case with lower elasticity of substitution skilled-unskilled. Columns (3) and (4) represent the case with higher elasticity of substitution skilled-unskilled. Columns (5) and (6) show the case with higher elasticity of the matching function. Columns (7) and (8) show the case with lower elasticity of the matching function. Columns (9) and (10) show the case with larger separation rate in country 2 (Mexico). Columns (11) and (12) show the case with smaller bargaining power of workers. The remaining parameters are as in Table 1.</w:t>
      </w:r>
    </w:p>
    <w:p>
      <w:pPr>
        <w:pStyle w:val="Normal"/>
        <w:rPr>
          <w:b/>
        </w:rPr>
      </w:pPr>
      <w:r>
        <w:rPr>
          <w:b/>
        </w:rPr>
      </w:r>
    </w:p>
    <w:p>
      <w:pPr>
        <w:pStyle w:val="Normal"/>
        <w:rPr>
          <w:b/>
        </w:rPr>
      </w:pPr>
      <w:r>
        <w:rPr>
          <w:b/>
        </w:rPr>
      </w:r>
    </w:p>
    <w:p>
      <w:pPr>
        <w:pStyle w:val="Normal"/>
        <w:rPr>
          <w:b/>
        </w:rPr>
      </w:pPr>
      <w:r>
        <w:rPr>
          <w:b/>
        </w:rPr>
      </w:r>
    </w:p>
    <w:p>
      <w:pPr>
        <w:pStyle w:val="Normal"/>
        <w:rPr>
          <w:b/>
        </w:rPr>
      </w:pPr>
      <w:r>
        <w:rPr>
          <w:b/>
        </w:rPr>
      </w:r>
    </w:p>
    <w:p>
      <w:pPr>
        <w:pStyle w:val="Normal"/>
        <w:jc w:val="center"/>
        <w:rPr>
          <w:rFonts w:eastAsia="Times New Roman" w:cs="Times New Roman"/>
          <w:b/>
          <w:bCs/>
          <w:color w:val="000000"/>
          <w:sz w:val="24"/>
          <w:szCs w:val="24"/>
          <w:lang w:val="en-GB" w:eastAsia="el-GR"/>
        </w:rPr>
      </w:pPr>
      <w:r>
        <w:rPr>
          <w:rFonts w:eastAsia="Times New Roman" w:cs="Times New Roman"/>
          <w:b/>
          <w:bCs/>
          <w:color w:val="000000"/>
          <w:sz w:val="24"/>
          <w:szCs w:val="24"/>
          <w:lang w:val="en-GB" w:eastAsia="el-GR"/>
        </w:rPr>
        <w:t>Table A5: Higher Legalization rates: Additional Robustness Checks</w:t>
      </w:r>
    </w:p>
    <w:tbl>
      <w:tblPr>
        <w:jc w:val="left"/>
        <w:tblInd w:w="108" w:type="dxa"/>
        <w:tblBorders>
          <w:top w:val="single" w:sz="4" w:space="0" w:color="00000A"/>
          <w:left w:val="single" w:sz="4" w:space="0" w:color="00000A"/>
          <w:bottom w:val="dotted" w:sz="4" w:space="0" w:color="00000A"/>
          <w:insideH w:val="dotted" w:sz="4" w:space="0" w:color="00000A"/>
          <w:right w:val="double" w:sz="4" w:space="0" w:color="00000A"/>
          <w:insideV w:val="double" w:sz="4" w:space="0" w:color="00000A"/>
        </w:tblBorders>
        <w:tblCellMar>
          <w:top w:w="0" w:type="dxa"/>
          <w:left w:w="103" w:type="dxa"/>
          <w:bottom w:w="0" w:type="dxa"/>
          <w:right w:w="108" w:type="dxa"/>
        </w:tblCellMar>
      </w:tblPr>
      <w:tblGrid>
        <w:gridCol w:w="4157"/>
        <w:gridCol w:w="900"/>
        <w:gridCol w:w="900"/>
        <w:gridCol w:w="900"/>
        <w:gridCol w:w="851"/>
        <w:gridCol w:w="851"/>
        <w:gridCol w:w="850"/>
        <w:gridCol w:w="851"/>
        <w:gridCol w:w="851"/>
        <w:gridCol w:w="851"/>
        <w:gridCol w:w="850"/>
        <w:gridCol w:w="851"/>
        <w:gridCol w:w="853"/>
      </w:tblGrid>
      <w:tr>
        <w:trPr>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vAlign w:val="bottom"/>
          </w:tcPr>
          <w:p>
            <w:pPr>
              <w:pStyle w:val="Normal"/>
              <w:spacing w:lineRule="auto" w:line="240" w:before="0" w:after="0"/>
              <w:rPr>
                <w:rFonts w:eastAsia="Calibri" w:cs="Times New Roman"/>
                <w:color w:val="000000"/>
                <w:lang w:eastAsia="el-GR"/>
              </w:rPr>
            </w:pPr>
            <w:r>
              <w:rPr>
                <w:rFonts w:eastAsia="Calibri" w:cs="Times New Roman"/>
                <w:color w:val="000000"/>
                <w:lang w:eastAsia="el-GR"/>
              </w:rPr>
            </w:r>
          </w:p>
        </w:tc>
        <w:tc>
          <w:tcPr>
            <w:tcW w:w="1800" w:type="dxa"/>
            <w:gridSpan w:val="2"/>
            <w:tcBorders>
              <w:top w:val="single" w:sz="4" w:space="0" w:color="00000A"/>
              <w:left w:val="double" w:sz="4" w:space="0" w:color="00000A"/>
              <w:bottom w:val="single" w:sz="4" w:space="0" w:color="00000A"/>
              <w:insideH w:val="single" w:sz="4" w:space="0" w:color="00000A"/>
              <w:right w:val="double" w:sz="4" w:space="0" w:color="00000A"/>
              <w:insideV w:val="doub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0.6</w:t>
            </w:r>
          </w:p>
        </w:tc>
        <w:tc>
          <w:tcPr>
            <w:tcW w:w="175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substitution </w:t>
            </w:r>
            <w:r>
              <w:rPr>
                <w:rFonts w:eastAsia="Times New Roman" w:cs="Times New Roman"/>
                <w:b/>
                <w:i/>
                <w:color w:val="000000"/>
                <w:lang w:val="en-GB" w:eastAsia="el-GR"/>
              </w:rPr>
            </w:r>
            <m:oMath xmlns:m="http://schemas.openxmlformats.org/officeDocument/2006/math">
              <m:r>
                <w:rPr>
                  <w:rFonts w:ascii="Cambria Math" w:hAnsi="Cambria Math"/>
                </w:rPr>
                <m:t xml:space="preserve">ρ</m:t>
              </m:r>
              <m:r>
                <w:rPr>
                  <w:rFonts w:ascii="Cambria Math" w:hAnsi="Cambria Math"/>
                </w:rPr>
                <m:t xml:space="preserve">=</m:t>
              </m:r>
            </m:oMath>
            <w:r>
              <w:rPr>
                <w:rFonts w:eastAsia="Times New Roman" w:cs="Times New Roman"/>
                <w:b/>
                <w:i/>
                <w:color w:val="000000"/>
                <w:lang w:eastAsia="el-GR"/>
              </w:rPr>
              <w:t>0.33</w:t>
            </w:r>
          </w:p>
        </w:tc>
        <w:tc>
          <w:tcPr>
            <w:tcW w:w="1701"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Higher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0.8</w:t>
            </w:r>
          </w:p>
        </w:tc>
        <w:tc>
          <w:tcPr>
            <w:tcW w:w="1702" w:type="dxa"/>
            <w:gridSpan w:val="2"/>
            <w:tcBorders>
              <w:top w:val="single" w:sz="4" w:space="0" w:color="00000A"/>
              <w:left w:val="double" w:sz="4" w:space="0" w:color="00000A"/>
              <w:bottom w:val="dotted" w:sz="4" w:space="0" w:color="00000A"/>
              <w:insideH w:val="dotted" w:sz="4" w:space="0" w:color="00000A"/>
              <w:right w:val="double" w:sz="4" w:space="0" w:color="00000A"/>
              <w:insideV w:val="doub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Lower elasticity of the matching function </w:t>
            </w:r>
            <w:r>
              <w:rPr>
                <w:rFonts w:eastAsia="Times New Roman" w:cs="Times New Roman"/>
                <w:b/>
                <w:i/>
                <w:color w:val="000000"/>
                <w:lang w:val="en-GB" w:eastAsia="el-GR"/>
              </w:rPr>
            </w:r>
            <m:oMath xmlns:m="http://schemas.openxmlformats.org/officeDocument/2006/math">
              <m:r>
                <w:rPr>
                  <w:rFonts w:ascii="Cambria Math" w:hAnsi="Cambria Math"/>
                </w:rPr>
                <m:t xml:space="preserve">ε</m:t>
              </m:r>
              <m:r>
                <w:rPr>
                  <w:rFonts w:ascii="Cambria Math" w:hAnsi="Cambria Math"/>
                </w:rPr>
                <m:t xml:space="preserve">=</m:t>
              </m:r>
            </m:oMath>
            <w:r>
              <w:rPr>
                <w:rFonts w:eastAsia="Times New Roman" w:cs="Times New Roman"/>
                <w:b/>
                <w:i/>
                <w:color w:val="000000"/>
                <w:lang w:eastAsia="el-GR"/>
              </w:rPr>
              <w:t>0.2</w:t>
            </w:r>
          </w:p>
        </w:tc>
        <w:tc>
          <w:tcPr>
            <w:tcW w:w="1701" w:type="dxa"/>
            <w:gridSpan w:val="2"/>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Larger country 2 separation rate  </w:t>
            </w:r>
            <w:r>
              <w:rPr>
                <w:rFonts w:eastAsia="Times New Roman" w:cs="Times New Roman"/>
                <w:b/>
                <w:i/>
                <w:color w:val="000000"/>
                <w:lang w:val="en-GB" w:eastAsia="el-GR"/>
              </w:rPr>
            </w:r>
            <m:oMath xmlns:m="http://schemas.openxmlformats.org/officeDocument/2006/math">
              <m:sSub>
                <m:e>
                  <m:r>
                    <w:rPr>
                      <w:rFonts w:ascii="Cambria Math" w:hAnsi="Cambria Math"/>
                    </w:rPr>
                    <m:t xml:space="preserve">σ</m:t>
                  </m:r>
                </m:e>
                <m:sub>
                  <m:r>
                    <w:rPr>
                      <w:rFonts w:ascii="Cambria Math" w:hAnsi="Cambria Math"/>
                    </w:rPr>
                    <m:t xml:space="preserve">2</m:t>
                  </m:r>
                </m:sub>
              </m:sSub>
              <m:r>
                <w:rPr>
                  <w:rFonts w:ascii="Cambria Math" w:hAnsi="Cambria Math"/>
                </w:rPr>
                <m:t xml:space="preserve">=</m:t>
              </m:r>
            </m:oMath>
            <w:r>
              <w:rPr>
                <w:rFonts w:eastAsia="Times New Roman" w:cs="Times New Roman"/>
                <w:b/>
                <w:i/>
                <w:color w:val="000000"/>
                <w:lang w:eastAsia="el-GR"/>
              </w:rPr>
              <w:t>0.05</w:t>
            </w:r>
          </w:p>
        </w:tc>
        <w:tc>
          <w:tcPr>
            <w:tcW w:w="1704" w:type="dxa"/>
            <w:gridSpan w:val="2"/>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tcPr>
          <w:p>
            <w:pPr>
              <w:pStyle w:val="Normal"/>
              <w:spacing w:lineRule="auto" w:line="240" w:before="0" w:after="0"/>
              <w:rPr>
                <w:rFonts w:eastAsia="Times New Roman" w:cs="Times New Roman"/>
                <w:b/>
                <w:i/>
                <w:color w:val="000000"/>
                <w:lang w:eastAsia="el-GR"/>
              </w:rPr>
            </w:pPr>
            <w:r>
              <w:rPr>
                <w:rFonts w:eastAsia="Times New Roman" w:cs="Times New Roman"/>
                <w:b/>
                <w:i/>
                <w:color w:val="000000"/>
                <w:lang w:val="en-GB" w:eastAsia="el-GR"/>
              </w:rPr>
              <w:t xml:space="preserve">Smaller bargaining power </w:t>
            </w:r>
            <w:r>
              <w:rPr>
                <w:rFonts w:eastAsia="Times New Roman" w:cs="Times New Roman"/>
                <w:b/>
                <w:i/>
                <w:color w:val="000000"/>
                <w:lang w:val="en-GB" w:eastAsia="el-GR"/>
              </w:rPr>
            </w:r>
            <m:oMath xmlns:m="http://schemas.openxmlformats.org/officeDocument/2006/math">
              <m:r>
                <w:rPr>
                  <w:rFonts w:ascii="Cambria Math" w:hAnsi="Cambria Math"/>
                </w:rPr>
                <m:t xml:space="preserve">β</m:t>
              </m:r>
              <m:r>
                <w:rPr>
                  <w:rFonts w:ascii="Cambria Math" w:hAnsi="Cambria Math"/>
                </w:rPr>
                <m:t xml:space="preserve">=</m:t>
              </m:r>
            </m:oMath>
            <w:r>
              <w:rPr>
                <w:rFonts w:eastAsia="Times New Roman" w:cs="Times New Roman"/>
                <w:b/>
                <w:i/>
                <w:color w:val="000000"/>
                <w:lang w:eastAsia="el-GR"/>
              </w:rPr>
              <w:t>0.3</w:t>
            </w:r>
          </w:p>
        </w:tc>
      </w:tr>
      <w:tr>
        <w:trPr>
          <w:trHeight w:val="36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color w:val="000000"/>
                <w:lang w:eastAsia="el-GR"/>
              </w:rPr>
            </w:pPr>
            <w:r>
              <w:rPr/>
            </w:r>
            <m:oMath xmlns:m="http://schemas.openxmlformats.org/officeDocument/2006/math">
              <m:r>
                <w:rPr>
                  <w:rFonts w:ascii="Cambria Math" w:hAnsi="Cambria Math"/>
                </w:rPr>
                <m:t xml:space="preserve">I</m:t>
              </m:r>
            </m:oMath>
            <w:r>
              <w:rPr>
                <w:rFonts w:eastAsia="Times New Roman" w:cs="Times New Roman"/>
                <w:b/>
                <w:color w:val="000000"/>
                <w:lang w:eastAsia="el-GR"/>
              </w:rPr>
              <w:t>: stock of illegal Immigrants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color w:val="000000"/>
              </w:rPr>
            </w:pPr>
            <w:r>
              <w:rPr>
                <w:color w:val="000000"/>
              </w:rPr>
              <w:t>-50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color w:val="000000"/>
              </w:rPr>
            </w:pPr>
            <w:r>
              <w:rPr>
                <w:color w:val="000000"/>
              </w:rPr>
              <w:t>-10</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c>
          <w:tcPr>
            <w:tcW w:w="851" w:type="dxa"/>
            <w:tcBorders>
              <w:top w:val="single"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color w:val="000000"/>
              </w:rPr>
            </w:pPr>
            <w:r>
              <w:rPr>
                <w:color w:val="000000"/>
              </w:rPr>
              <w:t>-10</w:t>
            </w:r>
          </w:p>
        </w:tc>
        <w:tc>
          <w:tcPr>
            <w:tcW w:w="8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vAlign w:val="bottom"/>
          </w:tcPr>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t>-50</w:t>
            </w:r>
          </w:p>
          <w:p>
            <w:pPr>
              <w:pStyle w:val="Normal"/>
              <w:spacing w:lineRule="auto" w:line="240" w:before="0" w:after="0"/>
              <w:jc w:val="right"/>
              <w:rPr>
                <w:rFonts w:eastAsia="Times New Roman" w:cs="Times New Roman"/>
                <w:color w:val="000000"/>
                <w:lang w:val="en-GB" w:eastAsia="el-GR"/>
              </w:rPr>
            </w:pPr>
            <w:r>
              <w:rPr>
                <w:rFonts w:eastAsia="Times New Roman" w:cs="Times New Roman"/>
                <w:color w:val="000000"/>
                <w:lang w:val="en-GB" w:eastAsia="el-GR"/>
              </w:rPr>
            </w:r>
          </w:p>
        </w:tc>
      </w:tr>
      <w:tr>
        <w:trPr>
          <w:trHeight w:val="364" w:hRule="exact"/>
          <w:cantSplit w:val="false"/>
        </w:trPr>
        <w:tc>
          <w:tcPr>
            <w:tcW w:w="4157"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r>
                <w:rPr>
                  <w:rFonts w:ascii="Cambria Math" w:hAnsi="Cambria Math"/>
                </w:rPr>
                <m:t xml:space="preserve">n</m:t>
              </m:r>
            </m:oMath>
            <w:r>
              <w:rPr>
                <w:rFonts w:eastAsia="Times New Roman" w:cs="Times New Roman"/>
                <w:b/>
                <w:bCs/>
                <w:color w:val="000000"/>
                <w:lang w:eastAsia="el-GR"/>
              </w:rPr>
              <w:t xml:space="preserve">: legalization rate </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292.68</w:t>
            </w:r>
          </w:p>
        </w:tc>
        <w:tc>
          <w:tcPr>
            <w:tcW w:w="900" w:type="dxa"/>
            <w:tcBorders>
              <w:top w:val="nil"/>
              <w:left w:val="single" w:sz="4" w:space="0" w:color="00000A"/>
              <w:bottom w:val="single" w:sz="12" w:space="0" w:color="00000A"/>
              <w:insideH w:val="single" w:sz="12"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2044.7</w:t>
            </w:r>
          </w:p>
        </w:tc>
        <w:tc>
          <w:tcPr>
            <w:tcW w:w="900"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253.42</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1901.4</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343.02</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2259.0</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247.18</w:t>
            </w:r>
          </w:p>
        </w:tc>
        <w:tc>
          <w:tcPr>
            <w:tcW w:w="851"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1860.4</w:t>
            </w:r>
          </w:p>
        </w:tc>
        <w:tc>
          <w:tcPr>
            <w:tcW w:w="851" w:type="dxa"/>
            <w:tcBorders>
              <w:top w:val="nil"/>
              <w:left w:val="double" w:sz="4" w:space="0" w:color="00000A"/>
              <w:bottom w:val="single" w:sz="12" w:space="0" w:color="00000A"/>
              <w:insideH w:val="single" w:sz="12"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278.81</w:t>
            </w:r>
          </w:p>
        </w:tc>
        <w:tc>
          <w:tcPr>
            <w:tcW w:w="850" w:type="dxa"/>
            <w:tcBorders>
              <w:top w:val="nil"/>
              <w:left w:val="nil"/>
              <w:bottom w:val="single" w:sz="12" w:space="0" w:color="00000A"/>
              <w:insideH w:val="single" w:sz="12"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1996.5</w:t>
            </w:r>
          </w:p>
        </w:tc>
        <w:tc>
          <w:tcPr>
            <w:tcW w:w="851" w:type="dxa"/>
            <w:tcBorders>
              <w:top w:val="single" w:sz="4" w:space="0" w:color="00000A"/>
              <w:left w:val="double" w:sz="4" w:space="0" w:color="00000A"/>
              <w:bottom w:val="single" w:sz="12" w:space="0" w:color="00000A"/>
              <w:insideH w:val="single" w:sz="12"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130.27</w:t>
            </w:r>
          </w:p>
        </w:tc>
        <w:tc>
          <w:tcPr>
            <w:tcW w:w="853" w:type="dxa"/>
            <w:tcBorders>
              <w:top w:val="single" w:sz="4" w:space="0" w:color="00000A"/>
              <w:left w:val="single" w:sz="4" w:space="0" w:color="00000A"/>
              <w:bottom w:val="single" w:sz="12" w:space="0" w:color="00000A"/>
              <w:insideH w:val="single" w:sz="12" w:space="0" w:color="00000A"/>
              <w:right w:val="single" w:sz="4" w:space="0" w:color="00000A"/>
              <w:insideV w:val="single" w:sz="4" w:space="0" w:color="00000A"/>
            </w:tcBorders>
            <w:shd w:fill="auto" w:val="clear"/>
            <w:tcMar>
              <w:left w:w="103" w:type="dxa"/>
            </w:tcMar>
            <w:vAlign w:val="bottom"/>
          </w:tcPr>
          <w:p>
            <w:pPr>
              <w:pStyle w:val="Normal"/>
              <w:jc w:val="right"/>
              <w:rPr>
                <w:rFonts w:cs="Calibri"/>
                <w:color w:val="000000"/>
              </w:rPr>
            </w:pPr>
            <w:r>
              <w:rPr>
                <w:rFonts w:cs="Calibri"/>
                <w:color w:val="000000"/>
              </w:rPr>
              <w:t>1208.1</w:t>
            </w:r>
          </w:p>
        </w:tc>
      </w:tr>
      <w:tr>
        <w:trPr>
          <w:trHeight w:val="375" w:hRule="exact"/>
          <w:cantSplit w:val="false"/>
        </w:trPr>
        <w:tc>
          <w:tcPr>
            <w:tcW w:w="14516" w:type="dxa"/>
            <w:gridSpan w:val="13"/>
            <w:tcBorders>
              <w:top w:val="dotted"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Unskilled market, outcomes for natives, percentage change</w:t>
            </w:r>
          </w:p>
        </w:tc>
      </w:tr>
      <w:tr>
        <w:trPr>
          <w:trHeight w:val="375" w:hRule="exact"/>
          <w:cantSplit w:val="false"/>
        </w:trPr>
        <w:tc>
          <w:tcPr>
            <w:tcW w:w="4157"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u</m:t>
                  </m:r>
                </m:sup>
              </m:sSubSup>
            </m:oMath>
            <w:r>
              <w:rPr>
                <w:rFonts w:eastAsia="Times New Roman" w:cs="Times New Roman"/>
                <w:b/>
                <w:bCs/>
                <w:color w:val="000000"/>
                <w:lang w:val="en-GB" w:eastAsia="el-GR"/>
              </w:rPr>
              <w:t>:  market tightness</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1.48</w:t>
            </w:r>
          </w:p>
        </w:tc>
        <w:tc>
          <w:tcPr>
            <w:tcW w:w="900" w:type="dxa"/>
            <w:tcBorders>
              <w:top w:val="dotted" w:sz="4" w:space="0" w:color="00000A"/>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4.78</w:t>
            </w:r>
          </w:p>
        </w:tc>
        <w:tc>
          <w:tcPr>
            <w:tcW w:w="900"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0.63</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2.11</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1.79</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5.41</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0.81</w:t>
            </w:r>
          </w:p>
        </w:tc>
        <w:tc>
          <w:tcPr>
            <w:tcW w:w="851"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2.82</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1.12</w:t>
            </w:r>
          </w:p>
        </w:tc>
        <w:tc>
          <w:tcPr>
            <w:tcW w:w="850" w:type="dxa"/>
            <w:tcBorders>
              <w:top w:val="dotted" w:sz="4" w:space="0" w:color="00000A"/>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3.70</w:t>
            </w:r>
          </w:p>
        </w:tc>
        <w:tc>
          <w:tcPr>
            <w:tcW w:w="851" w:type="dxa"/>
            <w:tcBorders>
              <w:top w:val="dotted" w:sz="4" w:space="0" w:color="00000A"/>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-0.06</w:t>
            </w:r>
          </w:p>
        </w:tc>
        <w:tc>
          <w:tcPr>
            <w:tcW w:w="853" w:type="dxa"/>
            <w:tcBorders>
              <w:top w:val="dotted" w:sz="4" w:space="0" w:color="00000A"/>
              <w:left w:val="nil"/>
              <w:bottom w:val="single" w:sz="4" w:space="0" w:color="00000A"/>
              <w:insideH w:val="single"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-0.29</w:t>
            </w:r>
          </w:p>
        </w:tc>
      </w:tr>
      <w:tr>
        <w:trPr>
          <w:trHeight w:val="427"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unemployment rate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-0.53</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-1.70</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-1.03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-3.05</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-0.12</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-1.32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0.02</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0.11</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u</m:t>
                  </m:r>
                </m:sup>
              </m:sSubSup>
            </m:oMath>
            <w:r>
              <w:rPr>
                <w:rFonts w:eastAsia="Times New Roman" w:cs="Times New Roman"/>
                <w:b/>
                <w:bCs/>
                <w:color w:val="000000"/>
                <w:lang w:eastAsia="el-GR"/>
              </w:rPr>
              <w:t>: wage of natives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-0.30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-1.03</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-1.51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-0.47</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-1.53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-0.29</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-1.10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-0.35</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-1.24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-0.09</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-0.45</w:t>
            </w:r>
          </w:p>
        </w:tc>
      </w:tr>
      <w:tr>
        <w:trPr>
          <w:trHeight w:val="355"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Skilled market, outcomes for natives, percentage change</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en-GB" w:eastAsia="el-GR"/>
              </w:rPr>
            </w:pPr>
            <w:r>
              <w:rPr/>
            </w:r>
            <m:oMath xmlns:m="http://schemas.openxmlformats.org/officeDocument/2006/math">
              <m:sSubSup>
                <m:e>
                  <m:r>
                    <w:rPr>
                      <w:rFonts w:ascii="Cambria Math" w:hAnsi="Cambria Math"/>
                    </w:rPr>
                    <m:t xml:space="preserve">θ</m:t>
                  </m:r>
                </m:e>
                <m:sub>
                  <m:r>
                    <w:rPr>
                      <w:rFonts w:ascii="Cambria Math" w:hAnsi="Cambria Math"/>
                    </w:rPr>
                    <m:t xml:space="preserve">1</m:t>
                  </m:r>
                </m:sub>
                <m:sup>
                  <m:r>
                    <w:rPr>
                      <w:rFonts w:ascii="Cambria Math" w:hAnsi="Cambria Math"/>
                    </w:rPr>
                    <m:t xml:space="preserve">s</m:t>
                  </m:r>
                </m:sup>
              </m:sSubSup>
            </m:oMath>
            <w:r>
              <w:rPr>
                <w:rFonts w:eastAsia="Times New Roman" w:cs="Times New Roman"/>
                <w:b/>
                <w:bCs/>
                <w:color w:val="000000"/>
                <w:lang w:val="en-GB" w:eastAsia="el-GR"/>
              </w:rPr>
              <w:t>:  market tightness</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0.70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2.44</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0.87</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3.32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1.24</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4.06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0.57</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2.20</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0.79</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2.83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0.21</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1.10</w:t>
            </w:r>
          </w:p>
        </w:tc>
      </w:tr>
      <w:tr>
        <w:trPr>
          <w:trHeight w:val="35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u</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oMath>
            <w:r>
              <w:rPr>
                <w:rFonts w:eastAsia="Times New Roman" w:cs="Times New Roman"/>
                <w:b/>
                <w:bCs/>
                <w:color w:val="000000"/>
                <w:lang w:eastAsia="el-GR"/>
              </w:rPr>
              <w:t>: u</w:t>
            </w:r>
            <w:r>
              <w:rPr>
                <w:rFonts w:eastAsia="Calibri" w:cs="Times New Roman"/>
                <w:b/>
                <w:bCs/>
                <w:color w:val="000000"/>
                <w:lang w:eastAsia="el-GR"/>
              </w:rPr>
              <w:t>nemployment rate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-0.30</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-1.04</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-0.37</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-1.41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-0.86</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-2.74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-0.10</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-0.38</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-0.34</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-1.21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-0.09</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-0.48</w:t>
            </w:r>
          </w:p>
        </w:tc>
      </w:tr>
      <w:tr>
        <w:trPr>
          <w:trHeight w:val="445"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Calibri" w:cs="Times New Roman"/>
                <w:b/>
                <w:bCs/>
                <w:color w:val="000000"/>
                <w:lang w:eastAsia="el-GR"/>
              </w:rPr>
            </w:pPr>
            <w:r>
              <w:rPr/>
            </w:r>
            <m:oMath xmlns:m="http://schemas.openxmlformats.org/officeDocument/2006/math">
              <m:sSubSup>
                <m:e>
                  <m:r>
                    <w:rPr>
                      <w:rFonts w:ascii="Cambria Math" w:hAnsi="Cambria Math"/>
                    </w:rPr>
                    <m:t xml:space="preserve">w</m:t>
                  </m:r>
                </m:e>
                <m:sub>
                  <m:r>
                    <w:rPr>
                      <w:rFonts w:ascii="Cambria Math" w:hAnsi="Cambria Math"/>
                    </w:rPr>
                    <m:t xml:space="preserve">1</m:t>
                  </m:r>
                  <m:r>
                    <w:rPr>
                      <w:rFonts w:ascii="Cambria Math" w:hAnsi="Cambria Math"/>
                    </w:rPr>
                    <m:t xml:space="preserve">N</m:t>
                  </m:r>
                </m:sub>
                <m:sup>
                  <m:r>
                    <w:rPr>
                      <w:rFonts w:ascii="Cambria Math" w:hAnsi="Cambria Math"/>
                    </w:rPr>
                    <m:t xml:space="preserve">s</m:t>
                  </m:r>
                </m:sup>
              </m:sSubSup>
              <m:r>
                <w:rPr>
                  <w:rFonts w:ascii="Cambria Math" w:hAnsi="Cambria Math"/>
                </w:rPr>
                <m:t xml:space="preserve">:</m:t>
              </m:r>
            </m:oMath>
            <w:r>
              <w:rPr>
                <w:rFonts w:eastAsia="Times New Roman" w:cs="Times New Roman"/>
                <w:b/>
                <w:bCs/>
                <w:color w:val="000000"/>
                <w:lang w:eastAsia="el-GR"/>
              </w:rPr>
              <w:t>w</w:t>
            </w:r>
            <w:r>
              <w:rPr>
                <w:rFonts w:eastAsia="Calibri" w:cs="Times New Roman"/>
                <w:b/>
                <w:bCs/>
                <w:color w:val="000000"/>
                <w:lang w:eastAsia="el-GR"/>
              </w:rPr>
              <w:t>age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0.19</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0.65</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0.89</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0.32</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1.04</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0.16</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0.62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0.21</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0.76</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0.06</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0.30</w:t>
            </w:r>
          </w:p>
        </w:tc>
      </w:tr>
      <w:tr>
        <w:trPr>
          <w:trHeight w:val="364" w:hRule="exact"/>
          <w:cantSplit w:val="false"/>
        </w:trPr>
        <w:tc>
          <w:tcPr>
            <w:tcW w:w="14516" w:type="dxa"/>
            <w:gridSpan w:val="13"/>
            <w:tcBorders>
              <w:top w:val="single" w:sz="4" w:space="0" w:color="00000A"/>
              <w:left w:val="single" w:sz="4" w:space="0" w:color="00000A"/>
              <w:bottom w:val="dotted" w:sz="4" w:space="0" w:color="00000A"/>
              <w:insideH w:val="dotted" w:sz="4" w:space="0" w:color="00000A"/>
              <w:right w:val="single" w:sz="4" w:space="0" w:color="00000A"/>
              <w:insideV w:val="single" w:sz="4" w:space="0" w:color="00000A"/>
            </w:tcBorders>
            <w:shd w:fill="FFFFFF" w:val="clear"/>
            <w:tcMar>
              <w:left w:w="103" w:type="dxa"/>
            </w:tcMar>
          </w:tcPr>
          <w:p>
            <w:pPr>
              <w:pStyle w:val="Normal"/>
              <w:jc w:val="center"/>
              <w:rPr>
                <w:b/>
                <w:color w:val="000000"/>
              </w:rPr>
            </w:pPr>
            <w:r>
              <w:rPr>
                <w:b/>
                <w:color w:val="000000"/>
              </w:rPr>
              <w:t>Native income per person, percentage change</w:t>
            </w:r>
          </w:p>
        </w:tc>
      </w:tr>
      <w:tr>
        <w:trPr>
          <w:trHeight w:val="364" w:hRule="exact"/>
          <w:cantSplit w:val="false"/>
        </w:trPr>
        <w:tc>
          <w:tcPr>
            <w:tcW w:w="4157"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val="it-IT"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sub>
              </m:sSub>
            </m:oMath>
            <w:r>
              <w:rPr>
                <w:rFonts w:eastAsia="Times New Roman" w:cs="Times New Roman"/>
                <w:b/>
                <w:bCs/>
                <w:color w:val="000000"/>
                <w:lang w:val="it-IT" w:eastAsia="el-GR"/>
              </w:rPr>
              <w:t xml:space="preserve">: </w:t>
            </w:r>
            <w:r>
              <w:rPr>
                <w:rFonts w:eastAsia="Times New Roman" w:cs="Times New Roman"/>
                <w:b/>
                <w:bCs/>
                <w:color w:val="000000"/>
                <w:lang w:val="it-IT" w:eastAsia="el-GR"/>
              </w:rPr>
              <w:t>income per native</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0.07</w:t>
            </w:r>
          </w:p>
        </w:tc>
        <w:tc>
          <w:tcPr>
            <w:tcW w:w="900" w:type="dxa"/>
            <w:tcBorders>
              <w:top w:val="single" w:sz="4" w:space="0" w:color="00000A"/>
              <w:left w:val="single" w:sz="4" w:space="0" w:color="00000A"/>
              <w:bottom w:val="dotted" w:sz="4" w:space="0" w:color="00000A"/>
              <w:insideH w:val="dotted"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0.23</w:t>
            </w:r>
          </w:p>
        </w:tc>
        <w:tc>
          <w:tcPr>
            <w:tcW w:w="900"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0.06</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0.22</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0.13</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0.41</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0.03</w:t>
            </w:r>
          </w:p>
        </w:tc>
        <w:tc>
          <w:tcPr>
            <w:tcW w:w="851"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0.13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0.06</w:t>
            </w:r>
          </w:p>
        </w:tc>
        <w:tc>
          <w:tcPr>
            <w:tcW w:w="850" w:type="dxa"/>
            <w:tcBorders>
              <w:top w:val="single" w:sz="4" w:space="0" w:color="00000A"/>
              <w:left w:val="nil"/>
              <w:bottom w:val="dotted" w:sz="4" w:space="0" w:color="00000A"/>
              <w:insideH w:val="dotted"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0.23</w:t>
            </w:r>
          </w:p>
        </w:tc>
        <w:tc>
          <w:tcPr>
            <w:tcW w:w="851" w:type="dxa"/>
            <w:tcBorders>
              <w:top w:val="single" w:sz="4" w:space="0" w:color="00000A"/>
              <w:left w:val="double" w:sz="4" w:space="0" w:color="00000A"/>
              <w:bottom w:val="dotted" w:sz="4" w:space="0" w:color="00000A"/>
              <w:insideH w:val="dotted"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0.02</w:t>
            </w:r>
          </w:p>
        </w:tc>
        <w:tc>
          <w:tcPr>
            <w:tcW w:w="853" w:type="dxa"/>
            <w:tcBorders>
              <w:top w:val="single" w:sz="4" w:space="0" w:color="00000A"/>
              <w:left w:val="nil"/>
              <w:bottom w:val="dotted" w:sz="4" w:space="0" w:color="00000A"/>
              <w:insideH w:val="dotted"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0.09</w:t>
            </w:r>
          </w:p>
        </w:tc>
      </w:tr>
      <w:tr>
        <w:trPr>
          <w:trHeight w:val="567" w:hRule="exact"/>
          <w:cantSplit w:val="false"/>
        </w:trPr>
        <w:tc>
          <w:tcPr>
            <w:tcW w:w="4157" w:type="dxa"/>
            <w:tcBorders>
              <w:top w:val="nil"/>
              <w:left w:val="single" w:sz="4" w:space="0" w:color="00000A"/>
              <w:bottom w:val="single" w:sz="4" w:space="0" w:color="00000A"/>
              <w:insideH w:val="single" w:sz="4" w:space="0" w:color="00000A"/>
              <w:right w:val="double" w:sz="4" w:space="0" w:color="00000A"/>
              <w:insideV w:val="double" w:sz="4" w:space="0" w:color="00000A"/>
            </w:tcBorders>
            <w:shd w:fill="FFFFFF" w:val="clear"/>
            <w:tcMar>
              <w:left w:w="103" w:type="dxa"/>
            </w:tcMar>
          </w:tcPr>
          <w:p>
            <w:pPr>
              <w:pStyle w:val="Normal"/>
              <w:spacing w:lineRule="auto" w:line="240" w:before="0" w:after="0"/>
              <w:rPr>
                <w:rFonts w:eastAsia="Times New Roman" w:cs="Times New Roman"/>
                <w:b/>
                <w:bCs/>
                <w:color w:val="000000"/>
                <w:lang w:eastAsia="el-GR"/>
              </w:rPr>
            </w:pPr>
            <w:r>
              <w:rPr/>
            </w:r>
            <m:oMath xmlns:m="http://schemas.openxmlformats.org/officeDocument/2006/math">
              <m:sSub>
                <m:e>
                  <m:acc>
                    <m:accPr>
                      <m:chr m:val="~"/>
                    </m:accPr>
                    <m:e>
                      <m:r>
                        <w:rPr>
                          <w:rFonts w:ascii="Cambria Math" w:hAnsi="Cambria Math"/>
                        </w:rPr>
                        <m:t xml:space="preserve">Y</m:t>
                      </m:r>
                    </m:e>
                  </m:acc>
                </m:e>
                <m:sub>
                  <m:r>
                    <w:rPr>
                      <w:rFonts w:ascii="Cambria Math" w:hAnsi="Cambria Math"/>
                    </w:rPr>
                    <m:t xml:space="preserve">1</m:t>
                  </m:r>
                  <m:r>
                    <w:rPr>
                      <w:rFonts w:ascii="Cambria Math" w:hAnsi="Cambria Math"/>
                    </w:rPr>
                    <m:t xml:space="preserve">a</m:t>
                  </m:r>
                </m:sub>
              </m:sSub>
            </m:oMath>
            <w:r>
              <w:rPr>
                <w:rFonts w:eastAsia="Times New Roman" w:cs="Times New Roman"/>
                <w:b/>
                <w:bCs/>
                <w:color w:val="000000"/>
                <w:lang w:eastAsia="el-GR"/>
              </w:rPr>
              <w:t xml:space="preserve">: </w:t>
            </w:r>
            <w:r>
              <w:rPr>
                <w:rFonts w:eastAsia="Times New Roman" w:cs="Times New Roman"/>
                <w:b/>
                <w:bCs/>
                <w:color w:val="000000"/>
                <w:lang w:eastAsia="el-GR"/>
              </w:rPr>
              <w:t>income per native net of unemployment benefits</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0.14</w:t>
            </w:r>
          </w:p>
        </w:tc>
        <w:tc>
          <w:tcPr>
            <w:tcW w:w="900" w:type="dxa"/>
            <w:tcBorders>
              <w:top w:val="nil"/>
              <w:left w:val="single" w:sz="4" w:space="0" w:color="00000A"/>
              <w:bottom w:val="single" w:sz="4" w:space="0" w:color="00000A"/>
              <w:insideH w:val="single" w:sz="4" w:space="0" w:color="00000A"/>
              <w:right w:val="double" w:sz="4" w:space="0" w:color="00000A"/>
              <w:insideV w:val="double" w:sz="4" w:space="0" w:color="00000A"/>
            </w:tcBorders>
            <w:shd w:fill="auto" w:val="clear"/>
            <w:tcMar>
              <w:left w:w="103" w:type="dxa"/>
            </w:tcMar>
            <w:vAlign w:val="bottom"/>
          </w:tcPr>
          <w:p>
            <w:pPr>
              <w:pStyle w:val="Normal"/>
              <w:jc w:val="right"/>
              <w:rPr>
                <w:rFonts w:cs="Calibri"/>
                <w:color w:val="000000"/>
              </w:rPr>
            </w:pPr>
            <w:r>
              <w:rPr>
                <w:rFonts w:cs="Calibri"/>
                <w:color w:val="000000"/>
              </w:rPr>
              <w:t>0.47</w:t>
            </w:r>
          </w:p>
        </w:tc>
        <w:tc>
          <w:tcPr>
            <w:tcW w:w="900"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0.11</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0.42</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0.29</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0.91</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0.06</w:t>
            </w:r>
          </w:p>
        </w:tc>
        <w:tc>
          <w:tcPr>
            <w:tcW w:w="851"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0.21</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vAlign w:val="bottom"/>
          </w:tcPr>
          <w:p>
            <w:pPr>
              <w:pStyle w:val="Normal"/>
              <w:jc w:val="right"/>
              <w:rPr>
                <w:rFonts w:cs="Calibri"/>
                <w:color w:val="000000"/>
              </w:rPr>
            </w:pPr>
            <w:r>
              <w:rPr>
                <w:rFonts w:cs="Calibri"/>
                <w:color w:val="000000"/>
              </w:rPr>
              <w:t>0.13</w:t>
            </w:r>
          </w:p>
        </w:tc>
        <w:tc>
          <w:tcPr>
            <w:tcW w:w="850" w:type="dxa"/>
            <w:tcBorders>
              <w:top w:val="nil"/>
              <w:left w:val="nil"/>
              <w:bottom w:val="single" w:sz="4" w:space="0" w:color="00000A"/>
              <w:insideH w:val="single" w:sz="4" w:space="0" w:color="00000A"/>
              <w:right w:val="double" w:sz="4" w:space="0" w:color="00000A"/>
              <w:insideV w:val="double" w:sz="4" w:space="0" w:color="00000A"/>
            </w:tcBorders>
            <w:shd w:fill="FFFFFF" w:val="clear"/>
            <w:vAlign w:val="bottom"/>
          </w:tcPr>
          <w:p>
            <w:pPr>
              <w:pStyle w:val="Normal"/>
              <w:jc w:val="right"/>
              <w:rPr>
                <w:rFonts w:cs="Calibri"/>
                <w:color w:val="000000"/>
              </w:rPr>
            </w:pPr>
            <w:r>
              <w:rPr>
                <w:rFonts w:cs="Calibri"/>
                <w:color w:val="000000"/>
              </w:rPr>
              <w:t>0.46</w:t>
            </w:r>
          </w:p>
        </w:tc>
        <w:tc>
          <w:tcPr>
            <w:tcW w:w="851" w:type="dxa"/>
            <w:tcBorders>
              <w:top w:val="nil"/>
              <w:left w:val="double" w:sz="4" w:space="0" w:color="00000A"/>
              <w:bottom w:val="single" w:sz="4" w:space="0" w:color="00000A"/>
              <w:insideH w:val="single" w:sz="4" w:space="0" w:color="00000A"/>
              <w:right w:val="single" w:sz="4" w:space="0" w:color="00000A"/>
              <w:insideV w:val="single" w:sz="4" w:space="0" w:color="00000A"/>
            </w:tcBorders>
            <w:shd w:fill="auto" w:val="clear"/>
            <w:tcMar>
              <w:left w:w="93" w:type="dxa"/>
            </w:tcMar>
            <w:vAlign w:val="bottom"/>
          </w:tcPr>
          <w:p>
            <w:pPr>
              <w:pStyle w:val="Normal"/>
              <w:jc w:val="right"/>
              <w:rPr>
                <w:rFonts w:cs="Calibri"/>
                <w:color w:val="000000"/>
              </w:rPr>
            </w:pPr>
            <w:r>
              <w:rPr>
                <w:rFonts w:cs="Calibri"/>
                <w:color w:val="000000"/>
              </w:rPr>
              <w:t>0.02</w:t>
            </w:r>
          </w:p>
        </w:tc>
        <w:tc>
          <w:tcPr>
            <w:tcW w:w="853" w:type="dxa"/>
            <w:tcBorders>
              <w:top w:val="nil"/>
              <w:left w:val="nil"/>
              <w:bottom w:val="single" w:sz="4" w:space="0" w:color="00000A"/>
              <w:insideH w:val="single" w:sz="4" w:space="0" w:color="00000A"/>
              <w:right w:val="single" w:sz="4" w:space="0" w:color="00000A"/>
              <w:insideV w:val="single" w:sz="4" w:space="0" w:color="00000A"/>
            </w:tcBorders>
            <w:shd w:fill="auto" w:val="clear"/>
            <w:vAlign w:val="bottom"/>
          </w:tcPr>
          <w:p>
            <w:pPr>
              <w:pStyle w:val="Normal"/>
              <w:jc w:val="right"/>
              <w:rPr>
                <w:rFonts w:cs="Calibri"/>
                <w:color w:val="000000"/>
              </w:rPr>
            </w:pPr>
            <w:r>
              <w:rPr>
                <w:rFonts w:cs="Calibri"/>
                <w:color w:val="000000"/>
              </w:rPr>
              <w:t>0.13</w:t>
            </w:r>
          </w:p>
        </w:tc>
      </w:tr>
    </w:tbl>
    <w:p>
      <w:pPr>
        <w:pStyle w:val="Normal"/>
        <w:spacing w:lineRule="auto" w:line="240" w:before="0" w:after="0"/>
        <w:ind w:left="0" w:right="89" w:hanging="0"/>
        <w:jc w:val="both"/>
        <w:rPr>
          <w:rFonts w:eastAsia="Times New Roman" w:cs="Times New Roman"/>
          <w:b/>
          <w:bCs/>
          <w:color w:val="000000"/>
          <w:sz w:val="18"/>
          <w:szCs w:val="18"/>
          <w:lang w:eastAsia="el-GR"/>
        </w:rPr>
      </w:pPr>
      <w:r>
        <w:rPr>
          <w:rFonts w:eastAsia="Times New Roman" w:cs="Times New Roman"/>
          <w:b/>
          <w:bCs/>
          <w:color w:val="000000"/>
          <w:sz w:val="18"/>
          <w:szCs w:val="18"/>
          <w:lang w:eastAsia="el-GR"/>
        </w:rPr>
      </w:r>
    </w:p>
    <w:p>
      <w:pPr>
        <w:pStyle w:val="Normal"/>
        <w:spacing w:lineRule="auto" w:line="240" w:before="0" w:after="0"/>
        <w:ind w:left="-142" w:right="89" w:hanging="0"/>
        <w:jc w:val="both"/>
        <w:rPr>
          <w:rFonts w:eastAsia="Times New Roman" w:cs="Times New Roman"/>
          <w:bCs/>
          <w:color w:val="000000"/>
          <w:sz w:val="18"/>
          <w:szCs w:val="18"/>
          <w:lang w:eastAsia="el-GR"/>
        </w:rPr>
      </w:pPr>
      <w:r>
        <w:rPr>
          <w:rFonts w:eastAsia="Times New Roman" w:cs="Times New Roman"/>
          <w:b/>
          <w:bCs/>
          <w:color w:val="000000"/>
          <w:sz w:val="18"/>
          <w:szCs w:val="18"/>
          <w:lang w:eastAsia="el-GR"/>
        </w:rPr>
        <w:t>Note:</w:t>
      </w:r>
      <w:r>
        <w:rPr>
          <w:rFonts w:eastAsia="Times New Roman" w:cs="Times New Roman"/>
          <w:bCs/>
          <w:color w:val="000000"/>
          <w:sz w:val="18"/>
          <w:szCs w:val="18"/>
          <w:lang w:eastAsia="el-GR"/>
        </w:rPr>
        <w:t xml:space="preserve"> Each entry represents the percentage change in the corresponding variable described in the row header. The top two rows show the percentage change in illegal immigrants and in the policy parameter </w:t>
      </w:r>
      <w:r>
        <w:rPr>
          <w:rFonts w:eastAsia="Times New Roman" w:cs="Times New Roman" w:ascii="Cambria" w:hAnsi="Cambria"/>
          <w:bCs/>
          <w:color w:val="000000"/>
          <w:sz w:val="18"/>
          <w:szCs w:val="18"/>
          <w:lang w:eastAsia="el-GR"/>
        </w:rPr>
        <w:t>n</w:t>
      </w:r>
      <w:r>
        <w:rPr>
          <w:rFonts w:eastAsia="Times New Roman" w:cs="Times New Roman"/>
          <w:bCs/>
          <w:color w:val="000000"/>
          <w:sz w:val="18"/>
          <w:szCs w:val="18"/>
          <w:lang w:eastAsia="el-GR"/>
        </w:rPr>
        <w:t>. The next three rows show the labor market outcomes for unskilled natives, the following three rows show the labor market outcomes for skilled natives and the last two rows show income per native. The columns correspond to different robustness checks. Columns (1) and (2) represent the case with lower elasticity of substitution skilled-unskilled. Columns (3) and (4) represent the case with higher elasticity of substitution skilled-unskilled. Columns (5) and (6) show the case with higher elasticity of the matching function. Columns (7) and (8) show the case with lower elasticity of the matching function. Columns (9) and (10) show the case with larger separation rate in country 2 (Mexico). Columns (11) and (12) show the case with smaller bargaining power of workers. The remaining parameters are as in Table 1.</w:t>
      </w:r>
    </w:p>
    <w:sectPr>
      <w:footerReference w:type="default" r:id="rId3"/>
      <w:type w:val="nextPage"/>
      <w:pgSz w:orient="landscape" w:w="15840" w:h="12240"/>
      <w:pgMar w:left="720" w:right="720" w:header="0" w:top="720" w:footer="720" w:bottom="777" w:gutter="0"/>
      <w:pgNumType w:start="58"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Symbo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jc w:val="center"/>
      <w:rPr/>
    </w:pPr>
    <w:r>
      <w:rPr/>
      <w:fldChar w:fldCharType="begin"/>
    </w:r>
    <w:r>
      <w:instrText> PAGE </w:instrText>
    </w:r>
    <w:r>
      <w:fldChar w:fldCharType="separate"/>
    </w:r>
    <w:r>
      <w:t>64</w:t>
    </w:r>
    <w:r>
      <w:fldChar w:fldCharType="end"/>
    </w:r>
  </w:p>
  <w:p>
    <w:pPr>
      <w:pStyle w:val="Footer"/>
      <w:rPr/>
    </w:pPr>
    <w:r>
      <w:rPr/>
    </w:r>
  </w:p>
</w:ftr>
</file>

<file path=word/settings.xml><?xml version="1.0" encoding="utf-8"?>
<w:settings xmlns:w="http://schemas.openxmlformats.org/wordprocessingml/2006/main">
  <w:zoom w:percent="82"/>
  <w:defaultTabStop w:val="720"/>
</w:settings>
</file>

<file path=word/styles.xml><?xml version="1.0" encoding="utf-8"?>
<w:styles xmlns:w="http://schemas.openxmlformats.org/wordprocessingml/2006/main">
  <w:docDefaults>
    <w:rPrDefault>
      <w:rPr>
        <w:rFonts w:ascii="Calibri" w:hAnsi="Calibri" w:eastAsia="Droid Sans Fallback" w:cs="Calibri"/>
        <w:sz w:val="22"/>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497d7d"/>
    <w:pPr>
      <w:widowControl/>
      <w:suppressAutoHyphens w:val="true"/>
      <w:bidi w:val="0"/>
      <w:spacing w:lineRule="auto" w:line="276" w:before="0" w:after="200"/>
      <w:jc w:val="left"/>
    </w:pPr>
    <w:rPr>
      <w:rFonts w:cs="" w:ascii="Calibri" w:hAnsi="Calibri" w:eastAsia="Droid Sans Fallback"/>
      <w:color w:val="auto"/>
      <w:sz w:val="22"/>
      <w:szCs w:val="22"/>
      <w:lang w:val="en-US" w:eastAsia="en-US" w:bidi="ar-SA"/>
    </w:rPr>
  </w:style>
  <w:style w:type="paragraph" w:styleId="Heading1">
    <w:name w:val="Heading 1"/>
    <w:uiPriority w:val="9"/>
    <w:qFormat/>
    <w:link w:val="Heading1Char"/>
    <w:rsid w:val="00551836"/>
    <w:basedOn w:val="Normal"/>
    <w:next w:val="Normal"/>
    <w:pPr>
      <w:keepNext/>
      <w:keepLines/>
      <w:spacing w:before="480" w:after="0"/>
      <w:outlineLvl w:val="0"/>
    </w:pPr>
    <w:rPr>
      <w:rFonts w:ascii="Cambria" w:hAnsi="Cambria" w:cs=""/>
      <w:b/>
      <w:bCs/>
      <w:color w:val="365F91"/>
      <w:sz w:val="28"/>
      <w:szCs w:val="28"/>
    </w:rPr>
  </w:style>
  <w:style w:type="paragraph" w:styleId="Heading2">
    <w:name w:val="Heading 2"/>
    <w:uiPriority w:val="9"/>
    <w:qFormat/>
    <w:semiHidden/>
    <w:unhideWhenUsed/>
    <w:link w:val="Heading2Char"/>
    <w:rsid w:val="00551836"/>
    <w:basedOn w:val="Normal"/>
    <w:next w:val="Normal"/>
    <w:pPr>
      <w:keepNext/>
      <w:keepLines/>
      <w:spacing w:before="200" w:after="0"/>
      <w:outlineLvl w:val="1"/>
    </w:pPr>
    <w:rPr>
      <w:rFonts w:ascii="Cambria" w:hAnsi="Cambria" w:cs=""/>
      <w:b/>
      <w:bCs/>
      <w:color w:val="4F81BD"/>
      <w:sz w:val="26"/>
      <w:szCs w:val="26"/>
    </w:rPr>
  </w:style>
  <w:style w:type="paragraph" w:styleId="Heading3">
    <w:name w:val="Heading 3"/>
    <w:uiPriority w:val="9"/>
    <w:qFormat/>
    <w:semiHidden/>
    <w:unhideWhenUsed/>
    <w:link w:val="Heading3Char"/>
    <w:rsid w:val="00551836"/>
    <w:basedOn w:val="Normal"/>
    <w:next w:val="Normal"/>
    <w:pPr>
      <w:keepNext/>
      <w:keepLines/>
      <w:spacing w:before="200" w:after="0"/>
      <w:outlineLvl w:val="2"/>
    </w:pPr>
    <w:rPr>
      <w:rFonts w:ascii="Cambria" w:hAnsi="Cambria" w:cs=""/>
      <w:b/>
      <w:bCs/>
      <w:color w:val="4F81BD"/>
    </w:rPr>
  </w:style>
  <w:style w:type="paragraph" w:styleId="Heading4">
    <w:name w:val="Heading 4"/>
    <w:uiPriority w:val="9"/>
    <w:qFormat/>
    <w:semiHidden/>
    <w:unhideWhenUsed/>
    <w:link w:val="Heading4Char"/>
    <w:rsid w:val="00551836"/>
    <w:basedOn w:val="Normal"/>
    <w:next w:val="Normal"/>
    <w:pPr>
      <w:keepNext/>
      <w:keepLines/>
      <w:spacing w:before="200" w:after="0"/>
      <w:outlineLvl w:val="3"/>
    </w:pPr>
    <w:rPr>
      <w:rFonts w:ascii="Cambria" w:hAnsi="Cambria" w:cs=""/>
      <w:b/>
      <w:bCs/>
      <w:i/>
      <w:iCs/>
      <w:color w:val="4F81BD"/>
    </w:rPr>
  </w:style>
  <w:style w:type="paragraph" w:styleId="Heading5">
    <w:name w:val="Heading 5"/>
    <w:uiPriority w:val="9"/>
    <w:qFormat/>
    <w:semiHidden/>
    <w:unhideWhenUsed/>
    <w:link w:val="Heading5Char"/>
    <w:rsid w:val="00551836"/>
    <w:basedOn w:val="Normal"/>
    <w:next w:val="Normal"/>
    <w:pPr>
      <w:keepNext/>
      <w:keepLines/>
      <w:spacing w:before="200" w:after="0"/>
      <w:outlineLvl w:val="4"/>
    </w:pPr>
    <w:rPr>
      <w:rFonts w:ascii="Cambria" w:hAnsi="Cambria" w:cs=""/>
      <w:color w:val="243F60"/>
    </w:rPr>
  </w:style>
  <w:style w:type="paragraph" w:styleId="Heading6">
    <w:name w:val="Heading 6"/>
    <w:uiPriority w:val="9"/>
    <w:qFormat/>
    <w:semiHidden/>
    <w:unhideWhenUsed/>
    <w:link w:val="Heading6Char"/>
    <w:rsid w:val="00551836"/>
    <w:basedOn w:val="Normal"/>
    <w:next w:val="Normal"/>
    <w:pPr>
      <w:keepNext/>
      <w:keepLines/>
      <w:spacing w:before="200" w:after="0"/>
      <w:outlineLvl w:val="5"/>
    </w:pPr>
    <w:rPr>
      <w:rFonts w:ascii="Cambria" w:hAnsi="Cambria" w:cs=""/>
      <w:i/>
      <w:iCs/>
      <w:color w:val="243F60"/>
    </w:rPr>
  </w:style>
  <w:style w:type="paragraph" w:styleId="Heading7">
    <w:name w:val="Heading 7"/>
    <w:uiPriority w:val="9"/>
    <w:qFormat/>
    <w:semiHidden/>
    <w:unhideWhenUsed/>
    <w:link w:val="Heading7Char"/>
    <w:rsid w:val="00551836"/>
    <w:basedOn w:val="Normal"/>
    <w:next w:val="Normal"/>
    <w:pPr>
      <w:keepNext/>
      <w:keepLines/>
      <w:spacing w:before="200" w:after="0"/>
      <w:outlineLvl w:val="6"/>
    </w:pPr>
    <w:rPr>
      <w:rFonts w:ascii="Cambria" w:hAnsi="Cambria" w:cs=""/>
      <w:i/>
      <w:iCs/>
      <w:color w:val="FF4040"/>
    </w:rPr>
  </w:style>
  <w:style w:type="paragraph" w:styleId="Heading8">
    <w:name w:val="Heading 8"/>
    <w:uiPriority w:val="9"/>
    <w:qFormat/>
    <w:semiHidden/>
    <w:unhideWhenUsed/>
    <w:link w:val="Heading8Char"/>
    <w:rsid w:val="00551836"/>
    <w:basedOn w:val="Normal"/>
    <w:next w:val="Normal"/>
    <w:pPr>
      <w:keepNext/>
      <w:keepLines/>
      <w:spacing w:before="200" w:after="0"/>
      <w:outlineLvl w:val="7"/>
    </w:pPr>
    <w:rPr>
      <w:rFonts w:ascii="Cambria" w:hAnsi="Cambria" w:cs=""/>
      <w:color w:val="4F81BD"/>
      <w:sz w:val="20"/>
      <w:szCs w:val="20"/>
    </w:rPr>
  </w:style>
  <w:style w:type="paragraph" w:styleId="Heading9">
    <w:name w:val="Heading 9"/>
    <w:uiPriority w:val="9"/>
    <w:qFormat/>
    <w:semiHidden/>
    <w:unhideWhenUsed/>
    <w:link w:val="Heading9Char"/>
    <w:rsid w:val="00551836"/>
    <w:basedOn w:val="Normal"/>
    <w:next w:val="Normal"/>
    <w:pPr>
      <w:keepNext/>
      <w:keepLines/>
      <w:spacing w:before="200" w:after="0"/>
      <w:outlineLvl w:val="8"/>
    </w:pPr>
    <w:rPr>
      <w:rFonts w:ascii="Cambria" w:hAnsi="Cambria" w:cs=""/>
      <w:i/>
      <w:iCs/>
      <w:color w:val="FF4040"/>
      <w:sz w:val="20"/>
      <w:szCs w:val="20"/>
    </w:rPr>
  </w:style>
  <w:style w:type="character" w:styleId="DefaultParagraphFont" w:default="1">
    <w:name w:val="Default Paragraph Font"/>
    <w:uiPriority w:val="1"/>
    <w:semiHidden/>
    <w:unhideWhenUsed/>
    <w:rPr/>
  </w:style>
  <w:style w:type="character" w:styleId="Heading1Char" w:customStyle="1">
    <w:name w:val="Heading 1 Char"/>
    <w:uiPriority w:val="9"/>
    <w:link w:val="Heading1"/>
    <w:rsid w:val="00551836"/>
    <w:basedOn w:val="DefaultParagraphFont"/>
    <w:rPr>
      <w:rFonts w:ascii="Cambria" w:hAnsi="Cambria" w:cs=""/>
      <w:b/>
      <w:bCs/>
      <w:color w:val="365F91"/>
      <w:sz w:val="28"/>
      <w:szCs w:val="28"/>
    </w:rPr>
  </w:style>
  <w:style w:type="character" w:styleId="Heading2Char" w:customStyle="1">
    <w:name w:val="Heading 2 Char"/>
    <w:uiPriority w:val="9"/>
    <w:semiHidden/>
    <w:link w:val="Heading2"/>
    <w:rsid w:val="00551836"/>
    <w:basedOn w:val="DefaultParagraphFont"/>
    <w:rPr>
      <w:rFonts w:ascii="Cambria" w:hAnsi="Cambria" w:cs=""/>
      <w:b/>
      <w:bCs/>
      <w:color w:val="4F81BD"/>
      <w:sz w:val="26"/>
      <w:szCs w:val="26"/>
    </w:rPr>
  </w:style>
  <w:style w:type="character" w:styleId="Heading3Char" w:customStyle="1">
    <w:name w:val="Heading 3 Char"/>
    <w:uiPriority w:val="9"/>
    <w:semiHidden/>
    <w:link w:val="Heading3"/>
    <w:rsid w:val="00551836"/>
    <w:basedOn w:val="DefaultParagraphFont"/>
    <w:rPr>
      <w:rFonts w:ascii="Cambria" w:hAnsi="Cambria" w:cs=""/>
      <w:b/>
      <w:bCs/>
      <w:color w:val="4F81BD"/>
    </w:rPr>
  </w:style>
  <w:style w:type="character" w:styleId="Heading4Char" w:customStyle="1">
    <w:name w:val="Heading 4 Char"/>
    <w:uiPriority w:val="9"/>
    <w:semiHidden/>
    <w:link w:val="Heading4"/>
    <w:rsid w:val="00551836"/>
    <w:basedOn w:val="DefaultParagraphFont"/>
    <w:rPr>
      <w:rFonts w:ascii="Cambria" w:hAnsi="Cambria" w:cs=""/>
      <w:b/>
      <w:bCs/>
      <w:i/>
      <w:iCs/>
      <w:color w:val="4F81BD"/>
    </w:rPr>
  </w:style>
  <w:style w:type="character" w:styleId="Heading5Char" w:customStyle="1">
    <w:name w:val="Heading 5 Char"/>
    <w:uiPriority w:val="9"/>
    <w:semiHidden/>
    <w:link w:val="Heading5"/>
    <w:rsid w:val="00551836"/>
    <w:basedOn w:val="DefaultParagraphFont"/>
    <w:rPr>
      <w:rFonts w:ascii="Cambria" w:hAnsi="Cambria" w:cs=""/>
      <w:color w:val="243F60"/>
    </w:rPr>
  </w:style>
  <w:style w:type="character" w:styleId="Heading6Char" w:customStyle="1">
    <w:name w:val="Heading 6 Char"/>
    <w:uiPriority w:val="9"/>
    <w:semiHidden/>
    <w:link w:val="Heading6"/>
    <w:rsid w:val="00551836"/>
    <w:basedOn w:val="DefaultParagraphFont"/>
    <w:rPr>
      <w:rFonts w:ascii="Cambria" w:hAnsi="Cambria" w:cs=""/>
      <w:i/>
      <w:iCs/>
      <w:color w:val="243F60"/>
    </w:rPr>
  </w:style>
  <w:style w:type="character" w:styleId="Heading7Char" w:customStyle="1">
    <w:name w:val="Heading 7 Char"/>
    <w:uiPriority w:val="9"/>
    <w:semiHidden/>
    <w:link w:val="Heading7"/>
    <w:rsid w:val="00551836"/>
    <w:basedOn w:val="DefaultParagraphFont"/>
    <w:rPr>
      <w:rFonts w:ascii="Cambria" w:hAnsi="Cambria" w:cs=""/>
      <w:i/>
      <w:iCs/>
      <w:color w:val="FF4040"/>
    </w:rPr>
  </w:style>
  <w:style w:type="character" w:styleId="Heading8Char" w:customStyle="1">
    <w:name w:val="Heading 8 Char"/>
    <w:uiPriority w:val="9"/>
    <w:semiHidden/>
    <w:link w:val="Heading8"/>
    <w:rsid w:val="00551836"/>
    <w:basedOn w:val="DefaultParagraphFont"/>
    <w:rPr>
      <w:rFonts w:ascii="Cambria" w:hAnsi="Cambria" w:cs=""/>
      <w:color w:val="4F81BD"/>
      <w:sz w:val="20"/>
      <w:szCs w:val="20"/>
    </w:rPr>
  </w:style>
  <w:style w:type="character" w:styleId="Heading9Char" w:customStyle="1">
    <w:name w:val="Heading 9 Char"/>
    <w:uiPriority w:val="9"/>
    <w:semiHidden/>
    <w:link w:val="Heading9"/>
    <w:rsid w:val="00551836"/>
    <w:basedOn w:val="DefaultParagraphFont"/>
    <w:rPr>
      <w:rFonts w:ascii="Cambria" w:hAnsi="Cambria" w:cs=""/>
      <w:i/>
      <w:iCs/>
      <w:color w:val="FF4040"/>
      <w:sz w:val="20"/>
      <w:szCs w:val="20"/>
    </w:rPr>
  </w:style>
  <w:style w:type="character" w:styleId="TitleChar" w:customStyle="1">
    <w:name w:val="Title Char"/>
    <w:uiPriority w:val="10"/>
    <w:link w:val="Title"/>
    <w:rsid w:val="00551836"/>
    <w:basedOn w:val="DefaultParagraphFont"/>
    <w:rPr>
      <w:rFonts w:ascii="Cambria" w:hAnsi="Cambria" w:cs=""/>
      <w:color w:val="17365D"/>
      <w:spacing w:val="5"/>
      <w:sz w:val="52"/>
      <w:szCs w:val="52"/>
    </w:rPr>
  </w:style>
  <w:style w:type="character" w:styleId="SubtitleChar" w:customStyle="1">
    <w:name w:val="Subtitle Char"/>
    <w:uiPriority w:val="11"/>
    <w:link w:val="Subtitle"/>
    <w:rsid w:val="00551836"/>
    <w:basedOn w:val="DefaultParagraphFont"/>
    <w:rPr>
      <w:rFonts w:ascii="Cambria" w:hAnsi="Cambria" w:cs=""/>
      <w:i/>
      <w:iCs/>
      <w:color w:val="4F81BD"/>
      <w:spacing w:val="15"/>
      <w:sz w:val="24"/>
      <w:szCs w:val="24"/>
    </w:rPr>
  </w:style>
  <w:style w:type="character" w:styleId="Strong">
    <w:name w:val="Strong"/>
    <w:uiPriority w:val="22"/>
    <w:qFormat/>
    <w:rsid w:val="00551836"/>
    <w:basedOn w:val="DefaultParagraphFont"/>
    <w:rPr>
      <w:b/>
      <w:bCs/>
    </w:rPr>
  </w:style>
  <w:style w:type="character" w:styleId="Emphasis">
    <w:name w:val="Emphasis"/>
    <w:uiPriority w:val="20"/>
    <w:qFormat/>
    <w:rsid w:val="00551836"/>
    <w:basedOn w:val="DefaultParagraphFont"/>
    <w:rPr>
      <w:i/>
      <w:iCs/>
    </w:rPr>
  </w:style>
  <w:style w:type="character" w:styleId="NoSpacingChar" w:customStyle="1">
    <w:name w:val="No Spacing Char"/>
    <w:uiPriority w:val="1"/>
    <w:link w:val="NoSpacing"/>
    <w:rsid w:val="00551836"/>
    <w:basedOn w:val="DefaultParagraphFont"/>
    <w:rPr/>
  </w:style>
  <w:style w:type="character" w:styleId="QuoteChar" w:customStyle="1">
    <w:name w:val="Quote Char"/>
    <w:uiPriority w:val="29"/>
    <w:link w:val="Quote"/>
    <w:rsid w:val="00551836"/>
    <w:basedOn w:val="DefaultParagraphFont"/>
    <w:rPr>
      <w:i/>
      <w:iCs/>
      <w:color w:val="FF0000"/>
    </w:rPr>
  </w:style>
  <w:style w:type="character" w:styleId="IntenseQuoteChar" w:customStyle="1">
    <w:name w:val="Intense Quote Char"/>
    <w:uiPriority w:val="30"/>
    <w:link w:val="IntenseQuote"/>
    <w:rsid w:val="00551836"/>
    <w:basedOn w:val="DefaultParagraphFont"/>
    <w:rPr>
      <w:b/>
      <w:bCs/>
      <w:i/>
      <w:iCs/>
      <w:color w:val="4F81BD"/>
    </w:rPr>
  </w:style>
  <w:style w:type="character" w:styleId="SubtleEmphasis">
    <w:name w:val="Subtle Emphasis"/>
    <w:uiPriority w:val="19"/>
    <w:qFormat/>
    <w:rsid w:val="00551836"/>
    <w:basedOn w:val="DefaultParagraphFont"/>
    <w:rPr>
      <w:i/>
      <w:iCs/>
      <w:color w:val="FF8080"/>
    </w:rPr>
  </w:style>
  <w:style w:type="character" w:styleId="IntenseEmphasis">
    <w:name w:val="Intense Emphasis"/>
    <w:uiPriority w:val="21"/>
    <w:qFormat/>
    <w:rsid w:val="00551836"/>
    <w:basedOn w:val="DefaultParagraphFont"/>
    <w:rPr>
      <w:b/>
      <w:bCs/>
      <w:i/>
      <w:iCs/>
      <w:color w:val="4F81BD"/>
    </w:rPr>
  </w:style>
  <w:style w:type="character" w:styleId="SubtleReference">
    <w:name w:val="Subtle Reference"/>
    <w:uiPriority w:val="31"/>
    <w:qFormat/>
    <w:rsid w:val="00551836"/>
    <w:basedOn w:val="DefaultParagraphFont"/>
    <w:rPr>
      <w:smallCaps/>
      <w:color w:val="C0504D"/>
      <w:u w:val="single"/>
    </w:rPr>
  </w:style>
  <w:style w:type="character" w:styleId="IntenseReference">
    <w:name w:val="Intense Reference"/>
    <w:uiPriority w:val="32"/>
    <w:qFormat/>
    <w:rsid w:val="00551836"/>
    <w:basedOn w:val="DefaultParagraphFont"/>
    <w:rPr>
      <w:b/>
      <w:bCs/>
      <w:smallCaps/>
      <w:color w:val="C0504D"/>
      <w:spacing w:val="5"/>
      <w:u w:val="single"/>
    </w:rPr>
  </w:style>
  <w:style w:type="character" w:styleId="BookTitle">
    <w:name w:val="Book Title"/>
    <w:uiPriority w:val="33"/>
    <w:qFormat/>
    <w:rsid w:val="00551836"/>
    <w:basedOn w:val="DefaultParagraphFont"/>
    <w:rPr>
      <w:b/>
      <w:bCs/>
      <w:smallCaps/>
      <w:spacing w:val="5"/>
    </w:rPr>
  </w:style>
  <w:style w:type="character" w:styleId="HyperlinkChar" w:customStyle="1">
    <w:name w:val="hyperlink Char"/>
    <w:link w:val="Hyperlink1"/>
    <w:rsid w:val="009f4262"/>
    <w:basedOn w:val="DefaultParagraphFont"/>
    <w:rPr>
      <w:color w:val="0070C0"/>
      <w:shd w:fill="FFFFFF" w:val="clear"/>
    </w:rPr>
  </w:style>
  <w:style w:type="character" w:styleId="BalloonTextChar" w:customStyle="1">
    <w:name w:val="Balloon Text Char"/>
    <w:uiPriority w:val="99"/>
    <w:semiHidden/>
    <w:link w:val="BalloonText"/>
    <w:rsid w:val="00497d7d"/>
    <w:basedOn w:val="DefaultParagraphFont"/>
    <w:rPr>
      <w:rFonts w:ascii="Tahoma" w:hAnsi="Tahoma" w:cs="Tahoma"/>
      <w:sz w:val="16"/>
      <w:szCs w:val="16"/>
    </w:rPr>
  </w:style>
  <w:style w:type="character" w:styleId="HeaderChar" w:customStyle="1">
    <w:name w:val="Header Char"/>
    <w:uiPriority w:val="99"/>
    <w:link w:val="Header"/>
    <w:rsid w:val="004c347d"/>
    <w:basedOn w:val="DefaultParagraphFont"/>
    <w:rPr>
      <w:rFonts w:cs=""/>
    </w:rPr>
  </w:style>
  <w:style w:type="character" w:styleId="FooterChar" w:customStyle="1">
    <w:name w:val="Footer Char"/>
    <w:uiPriority w:val="99"/>
    <w:link w:val="Footer"/>
    <w:rsid w:val="004c347d"/>
    <w:basedOn w:val="DefaultParagraphFont"/>
    <w:rPr>
      <w:rFonts w:cs=""/>
    </w:rPr>
  </w:style>
  <w:style w:type="character" w:styleId="PlaceholderText">
    <w:name w:val="Placeholder Text"/>
    <w:uiPriority w:val="99"/>
    <w:semiHidden/>
    <w:rsid w:val="00f00510"/>
    <w:basedOn w:val="DefaultParagraphFont"/>
    <w:rPr>
      <w:color w:val="808080"/>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Caption1">
    <w:name w:val="caption"/>
    <w:uiPriority w:val="35"/>
    <w:qFormat/>
    <w:semiHidden/>
    <w:unhideWhenUsed/>
    <w:rsid w:val="00551836"/>
    <w:basedOn w:val="Normal"/>
    <w:next w:val="Normal"/>
    <w:pPr>
      <w:spacing w:lineRule="auto" w:line="240"/>
    </w:pPr>
    <w:rPr>
      <w:rFonts w:cs="Calibri"/>
      <w:b/>
      <w:bCs/>
      <w:color w:val="4F81BD"/>
      <w:sz w:val="18"/>
      <w:szCs w:val="18"/>
    </w:rPr>
  </w:style>
  <w:style w:type="paragraph" w:styleId="Title">
    <w:name w:val="Title"/>
    <w:uiPriority w:val="10"/>
    <w:qFormat/>
    <w:link w:val="TitleChar"/>
    <w:rsid w:val="00551836"/>
    <w:basedOn w:val="Normal"/>
    <w:next w:val="Normal"/>
    <w:pPr>
      <w:pBdr>
        <w:top w:val="nil"/>
        <w:left w:val="nil"/>
        <w:bottom w:val="single" w:sz="8" w:space="4" w:color="4F81BD"/>
        <w:right w:val="nil"/>
      </w:pBdr>
      <w:spacing w:lineRule="auto" w:line="240" w:before="0" w:after="300"/>
      <w:contextualSpacing/>
    </w:pPr>
    <w:rPr>
      <w:rFonts w:ascii="Cambria" w:hAnsi="Cambria" w:cs=""/>
      <w:color w:val="17365D"/>
      <w:spacing w:val="5"/>
      <w:sz w:val="52"/>
      <w:szCs w:val="52"/>
    </w:rPr>
  </w:style>
  <w:style w:type="paragraph" w:styleId="Subtitle">
    <w:name w:val="Subtitle"/>
    <w:uiPriority w:val="11"/>
    <w:qFormat/>
    <w:link w:val="SubtitleChar"/>
    <w:rsid w:val="00551836"/>
    <w:basedOn w:val="Normal"/>
    <w:next w:val="Normal"/>
    <w:pPr/>
    <w:rPr>
      <w:rFonts w:ascii="Cambria" w:hAnsi="Cambria" w:cs=""/>
      <w:i/>
      <w:iCs/>
      <w:color w:val="4F81BD"/>
      <w:spacing w:val="15"/>
      <w:sz w:val="24"/>
      <w:szCs w:val="24"/>
    </w:rPr>
  </w:style>
  <w:style w:type="paragraph" w:styleId="NoSpacing">
    <w:name w:val="No Spacing"/>
    <w:uiPriority w:val="1"/>
    <w:qFormat/>
    <w:link w:val="NoSpacingChar"/>
    <w:rsid w:val="00551836"/>
    <w:pPr>
      <w:widowControl/>
      <w:suppressAutoHyphens w:val="true"/>
      <w:bidi w:val="0"/>
      <w:spacing w:lineRule="auto" w:line="240" w:before="0" w:after="0"/>
      <w:jc w:val="left"/>
    </w:pPr>
    <w:rPr>
      <w:rFonts w:ascii="Calibri" w:hAnsi="Calibri" w:eastAsia="Droid Sans Fallback" w:cs="Calibri"/>
      <w:color w:val="auto"/>
      <w:sz w:val="22"/>
      <w:szCs w:val="22"/>
      <w:lang w:val="en-US" w:eastAsia="en-US" w:bidi="ar-SA"/>
    </w:rPr>
  </w:style>
  <w:style w:type="paragraph" w:styleId="ListParagraph">
    <w:name w:val="List Paragraph"/>
    <w:uiPriority w:val="34"/>
    <w:qFormat/>
    <w:rsid w:val="00551836"/>
    <w:basedOn w:val="Normal"/>
    <w:pPr>
      <w:spacing w:before="0" w:after="200"/>
      <w:ind w:left="720" w:right="0" w:hanging="0"/>
      <w:contextualSpacing/>
    </w:pPr>
    <w:rPr>
      <w:rFonts w:cs="Calibri"/>
    </w:rPr>
  </w:style>
  <w:style w:type="paragraph" w:styleId="Quote">
    <w:name w:val="Quote"/>
    <w:uiPriority w:val="29"/>
    <w:qFormat/>
    <w:link w:val="QuoteChar"/>
    <w:rsid w:val="00551836"/>
    <w:basedOn w:val="Normal"/>
    <w:next w:val="Normal"/>
    <w:pPr/>
    <w:rPr>
      <w:rFonts w:cs="Calibri"/>
      <w:i/>
      <w:iCs/>
      <w:color w:val="FF0000"/>
    </w:rPr>
  </w:style>
  <w:style w:type="paragraph" w:styleId="IntenseQuote">
    <w:name w:val="Intense Quote"/>
    <w:uiPriority w:val="30"/>
    <w:qFormat/>
    <w:link w:val="IntenseQuoteChar"/>
    <w:rsid w:val="00551836"/>
    <w:basedOn w:val="Normal"/>
    <w:next w:val="Normal"/>
    <w:pPr>
      <w:pBdr>
        <w:top w:val="nil"/>
        <w:left w:val="nil"/>
        <w:bottom w:val="single" w:sz="4" w:space="4" w:color="4F81BD"/>
        <w:right w:val="nil"/>
      </w:pBdr>
      <w:spacing w:before="200" w:after="280"/>
      <w:ind w:left="936" w:right="936" w:hanging="0"/>
    </w:pPr>
    <w:rPr>
      <w:rFonts w:cs="Calibri"/>
      <w:b/>
      <w:bCs/>
      <w:i/>
      <w:iCs/>
      <w:color w:val="4F81BD"/>
    </w:rPr>
  </w:style>
  <w:style w:type="paragraph" w:styleId="ContentsHeading">
    <w:name w:val="Contents Heading"/>
    <w:uiPriority w:val="39"/>
    <w:qFormat/>
    <w:semiHidden/>
    <w:unhideWhenUsed/>
    <w:rsid w:val="00551836"/>
    <w:basedOn w:val="Heading1"/>
    <w:next w:val="Normal"/>
    <w:pPr/>
    <w:rPr/>
  </w:style>
  <w:style w:type="paragraph" w:styleId="Hyperlink1" w:customStyle="1">
    <w:name w:val="Hyperlink1"/>
    <w:link w:val="hyperlinkChar"/>
    <w:rsid w:val="009f4262"/>
    <w:basedOn w:val="Normal"/>
    <w:autoRedefine/>
    <w:pPr>
      <w:shd w:fill="FFFFFF" w:val="clear"/>
    </w:pPr>
    <w:rPr>
      <w:color w:val="0070C0"/>
      <w:u w:val="single"/>
    </w:rPr>
  </w:style>
  <w:style w:type="paragraph" w:styleId="BalloonText">
    <w:name w:val="Balloon Text"/>
    <w:uiPriority w:val="99"/>
    <w:semiHidden/>
    <w:unhideWhenUsed/>
    <w:link w:val="BalloonTextChar"/>
    <w:rsid w:val="00497d7d"/>
    <w:basedOn w:val="Normal"/>
    <w:pPr>
      <w:spacing w:lineRule="auto" w:line="240" w:before="0" w:after="0"/>
    </w:pPr>
    <w:rPr>
      <w:rFonts w:ascii="Tahoma" w:hAnsi="Tahoma" w:cs="Tahoma"/>
      <w:sz w:val="16"/>
      <w:szCs w:val="16"/>
    </w:rPr>
  </w:style>
  <w:style w:type="paragraph" w:styleId="Header">
    <w:name w:val="Header"/>
    <w:uiPriority w:val="99"/>
    <w:unhideWhenUsed/>
    <w:link w:val="HeaderChar"/>
    <w:rsid w:val="004c347d"/>
    <w:basedOn w:val="Normal"/>
    <w:pPr>
      <w:tabs>
        <w:tab w:val="center" w:pos="4680" w:leader="none"/>
        <w:tab w:val="right" w:pos="9360" w:leader="none"/>
      </w:tabs>
      <w:spacing w:lineRule="auto" w:line="240" w:before="0" w:after="0"/>
    </w:pPr>
    <w:rPr/>
  </w:style>
  <w:style w:type="paragraph" w:styleId="Footer">
    <w:name w:val="Footer"/>
    <w:uiPriority w:val="99"/>
    <w:unhideWhenUsed/>
    <w:link w:val="FooterChar"/>
    <w:rsid w:val="004c347d"/>
    <w:basedOn w:val="Normal"/>
    <w:pPr>
      <w:tabs>
        <w:tab w:val="center" w:pos="4680" w:leader="none"/>
        <w:tab w:val="right" w:pos="9360" w:leader="none"/>
      </w:tabs>
      <w:spacing w:lineRule="auto" w:line="240" w:before="0" w:after="0"/>
    </w:pPr>
    <w:rPr/>
  </w:style>
  <w:style w:type="paragraph" w:styleId="FrameContents">
    <w:name w:val="Frame Contents"/>
    <w:basedOn w:val="Normal"/>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computer">
      <a:dk1>
        <a:srgbClr val="FF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E66FF"/>
      </a:hlink>
      <a:folHlink>
        <a:srgbClr val="FFFF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2015-08-04T08:15:00Z</dcterms:created>
  <dc:creator>Giovanni Peri</dc:creator>
  <dc:language>en-US</dc:language>
  <cp:lastModifiedBy>jura</cp:lastModifiedBy>
  <cp:lastPrinted>2015-03-23T10:01:00Z</cp:lastPrinted>
  <dcterms:modified xsi:type="dcterms:W3CDTF">2015-08-11T10:09:00Z</dcterms:modified>
  <cp:revision>4</cp:revision>
</cp:coreProperties>
</file>